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9F83" w14:textId="0F9E86FF" w:rsidR="00B64465" w:rsidRPr="00B64465" w:rsidRDefault="00F90596" w:rsidP="008278DB">
      <w:pPr>
        <w:pStyle w:val="Heading1"/>
        <w:spacing w:before="0"/>
        <w:rPr>
          <w:sz w:val="16"/>
          <w:szCs w:val="16"/>
        </w:rPr>
      </w:pPr>
      <w:r w:rsidRPr="00B64465">
        <w:rPr>
          <w:sz w:val="28"/>
          <w:szCs w:val="28"/>
        </w:rPr>
        <w:t xml:space="preserve">De-escalation Strategies for Libraries, Archives, and Museum Staff </w:t>
      </w:r>
      <w:r w:rsidRPr="00B64465">
        <w:rPr>
          <w:sz w:val="28"/>
          <w:szCs w:val="28"/>
        </w:rPr>
        <w:br/>
      </w:r>
      <w:r w:rsidR="0007494B" w:rsidRPr="00B64465">
        <w:rPr>
          <w:sz w:val="28"/>
          <w:szCs w:val="28"/>
        </w:rPr>
        <w:t>Group Activities Guide</w:t>
      </w:r>
      <w:r w:rsidR="00B64465">
        <w:rPr>
          <w:sz w:val="28"/>
          <w:szCs w:val="28"/>
        </w:rPr>
        <w:br/>
      </w:r>
    </w:p>
    <w:p w14:paraId="3735B4C0" w14:textId="778F70C9" w:rsidR="3D9C14FE" w:rsidRPr="007A16BA" w:rsidRDefault="0277CF6F" w:rsidP="70F3AEF1">
      <w:pPr>
        <w:rPr>
          <w:rFonts w:ascii="Lato" w:eastAsia="Arial" w:hAnsi="Lato"/>
          <w:color w:val="000000" w:themeColor="text1"/>
        </w:rPr>
      </w:pPr>
      <w:r w:rsidRPr="007A16BA">
        <w:rPr>
          <w:rFonts w:ascii="Lato" w:eastAsia="Arial" w:hAnsi="Lato"/>
          <w:color w:val="000000" w:themeColor="text1"/>
        </w:rPr>
        <w:t xml:space="preserve">This guide can be used to facilitate discussion and activities among a group of learners after they have individually completed this self-paced course. It is not necessary to be an expert in the course content to facilitate the following discussions and activities. For a deeper dive into learning group facilitation, refer to </w:t>
      </w:r>
      <w:hyperlink r:id="rId11">
        <w:r w:rsidRPr="007A16BA">
          <w:rPr>
            <w:rStyle w:val="Hyperlink"/>
            <w:rFonts w:ascii="Lato" w:eastAsia="Arial" w:hAnsi="Lato"/>
          </w:rPr>
          <w:t>WebJunction’s Learning Group Facilitation Guide</w:t>
        </w:r>
      </w:hyperlink>
      <w:r w:rsidRPr="007A16BA">
        <w:rPr>
          <w:rFonts w:ascii="Lato" w:eastAsia="Arial" w:hAnsi="Lato"/>
          <w:color w:val="000000" w:themeColor="text1"/>
        </w:rPr>
        <w:t>.</w:t>
      </w:r>
    </w:p>
    <w:p w14:paraId="3340D8F4" w14:textId="580C29A2" w:rsidR="3D9C14FE" w:rsidRPr="007A16BA" w:rsidRDefault="0277CF6F" w:rsidP="70F3AEF1">
      <w:pPr>
        <w:rPr>
          <w:rFonts w:ascii="Lato" w:eastAsia="Arial" w:hAnsi="Lato"/>
          <w:color w:val="000000" w:themeColor="text1"/>
        </w:rPr>
      </w:pPr>
      <w:r w:rsidRPr="007A16BA">
        <w:rPr>
          <w:rFonts w:ascii="Lato" w:eastAsia="Arial" w:hAnsi="Lato"/>
          <w:color w:val="000000" w:themeColor="text1"/>
        </w:rPr>
        <w:t>If possible, check in with your learning group before beginning this course to discuss what the group wants to accomplish, both as individuals and as a group.</w:t>
      </w:r>
    </w:p>
    <w:p w14:paraId="0A0108FE" w14:textId="77777777" w:rsidR="00CF501A" w:rsidRPr="007A16BA" w:rsidRDefault="00CF501A" w:rsidP="007A16BA">
      <w:pPr>
        <w:pStyle w:val="Heading2"/>
      </w:pPr>
      <w:r w:rsidRPr="007A16BA">
        <w:t>Group discussion questions</w:t>
      </w:r>
    </w:p>
    <w:p w14:paraId="3C5EDC57" w14:textId="49A7007D" w:rsidR="00E91F02" w:rsidRPr="007A16BA" w:rsidRDefault="00E91F02" w:rsidP="00EE3FC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What are some of the common scenarios in your organization that require de-escalation? Are there </w:t>
      </w:r>
      <w:r w:rsidR="006E2C02" w:rsidRPr="007A16BA">
        <w:rPr>
          <w:rFonts w:ascii="Lato" w:hAnsi="Lato"/>
        </w:rPr>
        <w:t>specific policies,</w:t>
      </w:r>
      <w:r w:rsidR="00332601" w:rsidRPr="007A16BA">
        <w:rPr>
          <w:rFonts w:ascii="Lato" w:hAnsi="Lato"/>
        </w:rPr>
        <w:t xml:space="preserve"> events, or collections that seem to create </w:t>
      </w:r>
      <w:r w:rsidR="006B46C2" w:rsidRPr="007A16BA">
        <w:rPr>
          <w:rFonts w:ascii="Lato" w:hAnsi="Lato"/>
        </w:rPr>
        <w:t>difficult conversations</w:t>
      </w:r>
      <w:r w:rsidR="000E2394">
        <w:rPr>
          <w:rFonts w:ascii="Lato" w:hAnsi="Lato"/>
        </w:rPr>
        <w:t xml:space="preserve"> or </w:t>
      </w:r>
      <w:r w:rsidR="6F80A9D6" w:rsidRPr="007A16BA">
        <w:rPr>
          <w:rFonts w:ascii="Lato" w:hAnsi="Lato"/>
        </w:rPr>
        <w:t>interactions</w:t>
      </w:r>
      <w:r w:rsidR="006B46C2" w:rsidRPr="007A16BA">
        <w:rPr>
          <w:rFonts w:ascii="Lato" w:hAnsi="Lato"/>
        </w:rPr>
        <w:t>?</w:t>
      </w:r>
    </w:p>
    <w:p w14:paraId="3BAA04E9" w14:textId="61A73C50" w:rsidR="12EFC89E" w:rsidRPr="007A16BA" w:rsidRDefault="12EFC89E" w:rsidP="70F3AEF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>How do you prepare and support new staff and volunteers to address issues that may potentially escalate? How do they learn about relevant policies?</w:t>
      </w:r>
    </w:p>
    <w:p w14:paraId="50FD8A07" w14:textId="29A50FE0" w:rsidR="00E91F02" w:rsidRPr="007A16BA" w:rsidRDefault="00E91F02" w:rsidP="00EE3FC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>How do you pause yourself to get calm in a conflict? What strategies work for you?</w:t>
      </w:r>
    </w:p>
    <w:p w14:paraId="0C2ACE94" w14:textId="06DFC10B" w:rsidR="00E91F02" w:rsidRPr="007A16BA" w:rsidRDefault="003C3596" w:rsidP="00EE3FC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>What are some examples of times you have shown empathy to someone</w:t>
      </w:r>
      <w:r w:rsidR="00790FA0" w:rsidRPr="007A16BA">
        <w:rPr>
          <w:rFonts w:ascii="Lato" w:hAnsi="Lato"/>
        </w:rPr>
        <w:t xml:space="preserve"> visiting your library, archive, or museum? How did that person respond </w:t>
      </w:r>
      <w:r w:rsidR="00E91F02" w:rsidRPr="007A16BA">
        <w:rPr>
          <w:rFonts w:ascii="Lato" w:hAnsi="Lato"/>
        </w:rPr>
        <w:t>when you attempted to connect with them?</w:t>
      </w:r>
    </w:p>
    <w:p w14:paraId="652FAFA0" w14:textId="0D4E914B" w:rsidR="00DA4ED4" w:rsidRPr="007A16BA" w:rsidRDefault="00EE3FCD" w:rsidP="00EE3FCD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>What c</w:t>
      </w:r>
      <w:r w:rsidR="64723E8A" w:rsidRPr="007A16BA">
        <w:rPr>
          <w:rFonts w:ascii="Lato" w:hAnsi="Lato"/>
        </w:rPr>
        <w:t>ould you do if</w:t>
      </w:r>
      <w:r w:rsidRPr="007A16BA">
        <w:rPr>
          <w:rFonts w:ascii="Lato" w:hAnsi="Lato"/>
        </w:rPr>
        <w:t xml:space="preserve"> you feel unsafe de-escalating a conflict? What resources and </w:t>
      </w:r>
      <w:proofErr w:type="gramStart"/>
      <w:r w:rsidRPr="007A16BA">
        <w:rPr>
          <w:rFonts w:ascii="Lato" w:hAnsi="Lato"/>
        </w:rPr>
        <w:t>supports</w:t>
      </w:r>
      <w:proofErr w:type="gramEnd"/>
      <w:r w:rsidRPr="007A16BA">
        <w:rPr>
          <w:rFonts w:ascii="Lato" w:hAnsi="Lato"/>
        </w:rPr>
        <w:t xml:space="preserve"> are available to you?</w:t>
      </w:r>
    </w:p>
    <w:p w14:paraId="4185BF37" w14:textId="0851C8CC" w:rsidR="4CD3440A" w:rsidRPr="007A16BA" w:rsidRDefault="4CD3440A" w:rsidP="70F3AEF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What steps can you take to increase your confidence in de-escalation? </w:t>
      </w:r>
      <w:r w:rsidR="500DABC9" w:rsidRPr="007A16BA">
        <w:rPr>
          <w:rFonts w:ascii="Lato" w:hAnsi="Lato"/>
        </w:rPr>
        <w:t>What policies, procedures, and practices might help you feel more prepared to de-escalate a situation?</w:t>
      </w:r>
    </w:p>
    <w:p w14:paraId="0F272A7F" w14:textId="52742A21" w:rsidR="09B5C5EC" w:rsidRPr="007A16BA" w:rsidRDefault="09B5C5EC" w:rsidP="70F3AEF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eastAsia="Arial" w:hAnsi="Lato"/>
          <w:color w:val="000000" w:themeColor="text1"/>
        </w:rPr>
        <w:t>What other areas of interest do you have around this topic? How will you fill the gaps in your learning?</w:t>
      </w:r>
    </w:p>
    <w:p w14:paraId="18307BDE" w14:textId="0EBEF895" w:rsidR="00E31856" w:rsidRPr="007A16BA" w:rsidRDefault="00E31856" w:rsidP="007A16BA">
      <w:pPr>
        <w:pStyle w:val="Heading2"/>
      </w:pPr>
      <w:r w:rsidRPr="007A16BA">
        <w:t>Suggested group activities</w:t>
      </w:r>
    </w:p>
    <w:p w14:paraId="4D4B55A1" w14:textId="5879B2F0" w:rsidR="4A2B4787" w:rsidRPr="007A16BA" w:rsidRDefault="4A2B4787" w:rsidP="70F3AEF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>As a group, identify steps you could take (individually or within your organization) to increase confidence around de-escalation.</w:t>
      </w:r>
    </w:p>
    <w:p w14:paraId="38C9C13A" w14:textId="4C605E42" w:rsidR="004D2F90" w:rsidRPr="007A16BA" w:rsidRDefault="006B46C2" w:rsidP="004C7E7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Create talking points for your organization about how to </w:t>
      </w:r>
      <w:r w:rsidR="004D2F90" w:rsidRPr="007A16BA">
        <w:rPr>
          <w:rFonts w:ascii="Lato" w:hAnsi="Lato"/>
        </w:rPr>
        <w:t>de-escalate common scenarios.</w:t>
      </w:r>
    </w:p>
    <w:p w14:paraId="0FF57936" w14:textId="783C34FD" w:rsidR="004C7E7B" w:rsidRPr="007A16BA" w:rsidRDefault="007B6F70" w:rsidP="004C7E7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Take turns practicing a de-escalation scenario in your group. Select a </w:t>
      </w:r>
      <w:r w:rsidR="002A61CE" w:rsidRPr="007A16BA">
        <w:rPr>
          <w:rFonts w:ascii="Lato" w:hAnsi="Lato"/>
        </w:rPr>
        <w:t>common scenario in your organization (e.g., policy enforcement,</w:t>
      </w:r>
      <w:r w:rsidR="00F35FDD" w:rsidRPr="007A16BA">
        <w:rPr>
          <w:rFonts w:ascii="Lato" w:hAnsi="Lato"/>
        </w:rPr>
        <w:t xml:space="preserve"> responding to someone who is offended, sharing disappointing information, etc.) and </w:t>
      </w:r>
      <w:r w:rsidR="00C93D87" w:rsidRPr="007A16BA">
        <w:rPr>
          <w:rFonts w:ascii="Lato" w:hAnsi="Lato"/>
        </w:rPr>
        <w:t xml:space="preserve">identify roles in that scenario, then play out those roles using the </w:t>
      </w:r>
      <w:r w:rsidR="004C7E7B" w:rsidRPr="007A16BA">
        <w:rPr>
          <w:rFonts w:ascii="Lato" w:hAnsi="Lato"/>
        </w:rPr>
        <w:t xml:space="preserve">framework in the course. If you need help thinking of scenarios, here are a few to get you started. </w:t>
      </w:r>
    </w:p>
    <w:p w14:paraId="50B055C1" w14:textId="5410EBB2" w:rsidR="004C7E7B" w:rsidRPr="007A16BA" w:rsidRDefault="004C7E7B" w:rsidP="004C7E7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A museum visitor </w:t>
      </w:r>
      <w:r w:rsidR="00D85CF3" w:rsidRPr="007A16BA">
        <w:rPr>
          <w:rFonts w:ascii="Lato" w:hAnsi="Lato"/>
        </w:rPr>
        <w:t>loudly interrupts a tour guide to ask why the museum doesn’t allow recording when their tax dollars paid for the exhibit</w:t>
      </w:r>
      <w:r w:rsidR="002A4F60" w:rsidRPr="007A16BA">
        <w:rPr>
          <w:rFonts w:ascii="Lato" w:hAnsi="Lato"/>
        </w:rPr>
        <w:t xml:space="preserve">. </w:t>
      </w:r>
    </w:p>
    <w:p w14:paraId="5DDFA203" w14:textId="7E7CFD56" w:rsidR="002A4F60" w:rsidRPr="007A16BA" w:rsidRDefault="002A4F60" w:rsidP="004C7E7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7A16BA">
        <w:rPr>
          <w:rFonts w:ascii="Lato" w:hAnsi="Lato"/>
        </w:rPr>
        <w:t xml:space="preserve">A </w:t>
      </w:r>
      <w:r w:rsidR="00CE22A7" w:rsidRPr="007A16BA">
        <w:rPr>
          <w:rFonts w:ascii="Lato" w:hAnsi="Lato"/>
        </w:rPr>
        <w:t xml:space="preserve">parent approaches the help desk and </w:t>
      </w:r>
      <w:r w:rsidR="00D85CF3" w:rsidRPr="007A16BA">
        <w:rPr>
          <w:rFonts w:ascii="Lato" w:hAnsi="Lato"/>
        </w:rPr>
        <w:t xml:space="preserve">angrily </w:t>
      </w:r>
      <w:r w:rsidR="00CE22A7" w:rsidRPr="007A16BA">
        <w:rPr>
          <w:rFonts w:ascii="Lato" w:hAnsi="Lato"/>
        </w:rPr>
        <w:t>shoves a book at the library assistant</w:t>
      </w:r>
      <w:r w:rsidR="00ED0014" w:rsidRPr="007A16BA">
        <w:rPr>
          <w:rFonts w:ascii="Lato" w:hAnsi="Lato"/>
        </w:rPr>
        <w:t>, saying</w:t>
      </w:r>
      <w:r w:rsidR="00CE22A7" w:rsidRPr="007A16BA">
        <w:rPr>
          <w:rFonts w:ascii="Lato" w:hAnsi="Lato"/>
        </w:rPr>
        <w:t>, “Can you believe I found this in the children’s section?”</w:t>
      </w:r>
    </w:p>
    <w:p w14:paraId="4504170E" w14:textId="4A9DE090" w:rsidR="00E31856" w:rsidRPr="00B64465" w:rsidRDefault="005C7041" w:rsidP="3D9C14FE">
      <w:pPr>
        <w:pStyle w:val="ListParagraph"/>
        <w:numPr>
          <w:ilvl w:val="1"/>
          <w:numId w:val="2"/>
        </w:numPr>
        <w:rPr>
          <w:rFonts w:ascii="Lato" w:hAnsi="Lato"/>
          <w:color w:val="FF0000"/>
        </w:rPr>
      </w:pPr>
      <w:r w:rsidRPr="00B64465">
        <w:rPr>
          <w:rFonts w:ascii="Lato" w:hAnsi="Lato"/>
        </w:rPr>
        <w:t xml:space="preserve">A researcher shows no signs of wrapping up as the archive nears closing time. When </w:t>
      </w:r>
      <w:r w:rsidR="00ED0014" w:rsidRPr="00B64465">
        <w:rPr>
          <w:rFonts w:ascii="Lato" w:hAnsi="Lato"/>
        </w:rPr>
        <w:t>asked to prepare for closing,</w:t>
      </w:r>
      <w:r w:rsidRPr="00B64465">
        <w:rPr>
          <w:rFonts w:ascii="Lato" w:hAnsi="Lato"/>
        </w:rPr>
        <w:t xml:space="preserve"> the researcher says, “Can’t you see I’m in the middle of something? </w:t>
      </w:r>
      <w:r w:rsidR="002A711A" w:rsidRPr="00B64465">
        <w:rPr>
          <w:rFonts w:ascii="Lato" w:hAnsi="Lato"/>
        </w:rPr>
        <w:t>I</w:t>
      </w:r>
      <w:r w:rsidR="00140A89" w:rsidRPr="00B64465">
        <w:rPr>
          <w:rFonts w:ascii="Lato" w:hAnsi="Lato"/>
        </w:rPr>
        <w:t>’ll leave when I’m ready</w:t>
      </w:r>
      <w:r w:rsidRPr="00B64465">
        <w:rPr>
          <w:rFonts w:ascii="Lato" w:hAnsi="Lato"/>
        </w:rPr>
        <w:t>.”</w:t>
      </w:r>
    </w:p>
    <w:sectPr w:rsidR="00E31856" w:rsidRPr="00B644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D67" w14:textId="77777777" w:rsidR="005A2BDA" w:rsidRDefault="005A2BDA" w:rsidP="001651A2">
      <w:pPr>
        <w:spacing w:after="0" w:line="240" w:lineRule="auto"/>
      </w:pPr>
      <w:r>
        <w:separator/>
      </w:r>
    </w:p>
  </w:endnote>
  <w:endnote w:type="continuationSeparator" w:id="0">
    <w:p w14:paraId="79F0626B" w14:textId="77777777" w:rsidR="005A2BDA" w:rsidRDefault="005A2BDA" w:rsidP="001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97AC" w14:textId="77777777" w:rsidR="001651A2" w:rsidRPr="007A16BA" w:rsidRDefault="001651A2" w:rsidP="001651A2">
    <w:pPr>
      <w:pStyle w:val="Footer"/>
      <w:rPr>
        <w:rFonts w:ascii="Lato" w:hAnsi="Lato"/>
      </w:rPr>
    </w:pPr>
    <w:r w:rsidRPr="007A16BA">
      <w:rPr>
        <w:rFonts w:ascii="Lato" w:hAnsi="Lato"/>
      </w:rPr>
      <w:t>OCLC/WebJunction</w:t>
    </w:r>
  </w:p>
  <w:p w14:paraId="40FBFD86" w14:textId="18A3CF7A" w:rsidR="001651A2" w:rsidRPr="007A16BA" w:rsidRDefault="001651A2">
    <w:pPr>
      <w:pStyle w:val="Footer"/>
      <w:rPr>
        <w:rFonts w:ascii="Lato" w:hAnsi="Lato"/>
      </w:rPr>
    </w:pPr>
    <w:r w:rsidRPr="007A16BA">
      <w:rPr>
        <w:rFonts w:ascii="Lato" w:hAnsi="Lato"/>
      </w:rPr>
      <w:t>CC BY-NC-SA 4.0</w:t>
    </w:r>
    <w:r w:rsidRPr="007A16BA">
      <w:rPr>
        <w:rFonts w:ascii="Lato" w:hAnsi="Lato"/>
      </w:rPr>
      <w:tab/>
    </w:r>
    <w:r w:rsidRPr="007A16BA">
      <w:rPr>
        <w:rFonts w:ascii="Lato" w:hAnsi="Lato"/>
      </w:rPr>
      <w:tab/>
      <w:t>2023</w:t>
    </w:r>
  </w:p>
  <w:p w14:paraId="793E70E8" w14:textId="562E0FC9" w:rsidR="00F90596" w:rsidRPr="007A16BA" w:rsidRDefault="00F90596" w:rsidP="00F90596">
    <w:pPr>
      <w:pStyle w:val="Footer"/>
      <w:jc w:val="center"/>
      <w:rPr>
        <w:rFonts w:ascii="Lato" w:hAnsi="Lato"/>
        <w:i/>
        <w:iCs/>
        <w:sz w:val="16"/>
        <w:szCs w:val="16"/>
      </w:rPr>
    </w:pPr>
    <w:r w:rsidRPr="007A16BA">
      <w:rPr>
        <w:rFonts w:ascii="Lato" w:hAnsi="Lato"/>
        <w:i/>
        <w:iCs/>
        <w:sz w:val="16"/>
        <w:szCs w:val="16"/>
        <w:shd w:val="clear" w:color="auto" w:fill="FFFFFF"/>
      </w:rPr>
      <w:t>This project was made possible in part by the Institute of Museum and Library Services (project number ODIS-246644-ODIS-20).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E0A9" w14:textId="77777777" w:rsidR="005A2BDA" w:rsidRDefault="005A2BDA" w:rsidP="001651A2">
      <w:pPr>
        <w:spacing w:after="0" w:line="240" w:lineRule="auto"/>
      </w:pPr>
      <w:r>
        <w:separator/>
      </w:r>
    </w:p>
  </w:footnote>
  <w:footnote w:type="continuationSeparator" w:id="0">
    <w:p w14:paraId="2BDB0CC7" w14:textId="77777777" w:rsidR="005A2BDA" w:rsidRDefault="005A2BDA" w:rsidP="0016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F3AEF1" w14:paraId="4E631CC8" w14:textId="77777777" w:rsidTr="70F3AEF1">
      <w:trPr>
        <w:trHeight w:val="300"/>
      </w:trPr>
      <w:tc>
        <w:tcPr>
          <w:tcW w:w="3120" w:type="dxa"/>
        </w:tcPr>
        <w:p w14:paraId="0F7A4772" w14:textId="6D653E59" w:rsidR="70F3AEF1" w:rsidRDefault="70F3AEF1" w:rsidP="70F3AEF1">
          <w:pPr>
            <w:pStyle w:val="Header"/>
            <w:ind w:left="-115"/>
          </w:pPr>
        </w:p>
      </w:tc>
      <w:tc>
        <w:tcPr>
          <w:tcW w:w="3120" w:type="dxa"/>
        </w:tcPr>
        <w:p w14:paraId="689D7324" w14:textId="317D979D" w:rsidR="70F3AEF1" w:rsidRDefault="70F3AEF1" w:rsidP="70F3AEF1">
          <w:pPr>
            <w:pStyle w:val="Header"/>
            <w:jc w:val="center"/>
          </w:pPr>
        </w:p>
      </w:tc>
      <w:tc>
        <w:tcPr>
          <w:tcW w:w="3120" w:type="dxa"/>
        </w:tcPr>
        <w:p w14:paraId="1486D26B" w14:textId="6DA795EE" w:rsidR="70F3AEF1" w:rsidRDefault="70F3AEF1" w:rsidP="70F3AEF1">
          <w:pPr>
            <w:pStyle w:val="Header"/>
            <w:ind w:right="-115"/>
            <w:jc w:val="right"/>
          </w:pPr>
        </w:p>
      </w:tc>
    </w:tr>
  </w:tbl>
  <w:p w14:paraId="1DC3BF56" w14:textId="7C721275" w:rsidR="70F3AEF1" w:rsidRDefault="70F3AEF1" w:rsidP="70F3A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7C2"/>
    <w:multiLevelType w:val="hybridMultilevel"/>
    <w:tmpl w:val="3686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418C"/>
    <w:multiLevelType w:val="hybridMultilevel"/>
    <w:tmpl w:val="AA0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4F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6998">
    <w:abstractNumId w:val="0"/>
  </w:num>
  <w:num w:numId="2" w16cid:durableId="129560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B"/>
    <w:rsid w:val="0007494B"/>
    <w:rsid w:val="000E2394"/>
    <w:rsid w:val="00140A89"/>
    <w:rsid w:val="001651A2"/>
    <w:rsid w:val="002A4F60"/>
    <w:rsid w:val="002A61CE"/>
    <w:rsid w:val="002A711A"/>
    <w:rsid w:val="002C4D93"/>
    <w:rsid w:val="00332601"/>
    <w:rsid w:val="003C3596"/>
    <w:rsid w:val="0042100B"/>
    <w:rsid w:val="004477F6"/>
    <w:rsid w:val="00477F58"/>
    <w:rsid w:val="004C7E7B"/>
    <w:rsid w:val="004D2F90"/>
    <w:rsid w:val="005A2BDA"/>
    <w:rsid w:val="005C7041"/>
    <w:rsid w:val="006B46C2"/>
    <w:rsid w:val="006E2C02"/>
    <w:rsid w:val="00720702"/>
    <w:rsid w:val="00790FA0"/>
    <w:rsid w:val="00794ED1"/>
    <w:rsid w:val="007A16BA"/>
    <w:rsid w:val="007B6F70"/>
    <w:rsid w:val="008278DB"/>
    <w:rsid w:val="00874656"/>
    <w:rsid w:val="00917983"/>
    <w:rsid w:val="00952D05"/>
    <w:rsid w:val="00A370FD"/>
    <w:rsid w:val="00B64465"/>
    <w:rsid w:val="00C83569"/>
    <w:rsid w:val="00C93D87"/>
    <w:rsid w:val="00CE22A7"/>
    <w:rsid w:val="00CF056A"/>
    <w:rsid w:val="00CF501A"/>
    <w:rsid w:val="00D85CF3"/>
    <w:rsid w:val="00DA4ED4"/>
    <w:rsid w:val="00E31856"/>
    <w:rsid w:val="00E875D9"/>
    <w:rsid w:val="00E91F02"/>
    <w:rsid w:val="00ED0014"/>
    <w:rsid w:val="00EE3FCD"/>
    <w:rsid w:val="00F32D84"/>
    <w:rsid w:val="00F35FDD"/>
    <w:rsid w:val="00F90596"/>
    <w:rsid w:val="0277CF6F"/>
    <w:rsid w:val="04470324"/>
    <w:rsid w:val="05E2D385"/>
    <w:rsid w:val="09B5C5EC"/>
    <w:rsid w:val="0DEDE56A"/>
    <w:rsid w:val="12EFC89E"/>
    <w:rsid w:val="18888AA3"/>
    <w:rsid w:val="19A6E8BC"/>
    <w:rsid w:val="1BFD5E67"/>
    <w:rsid w:val="207A742B"/>
    <w:rsid w:val="21CE3E9A"/>
    <w:rsid w:val="3AA771F2"/>
    <w:rsid w:val="3D9C14FE"/>
    <w:rsid w:val="46EB9A0F"/>
    <w:rsid w:val="46F0DFC8"/>
    <w:rsid w:val="4A2B4787"/>
    <w:rsid w:val="4CD3440A"/>
    <w:rsid w:val="500DABC9"/>
    <w:rsid w:val="533B3806"/>
    <w:rsid w:val="5B2D218E"/>
    <w:rsid w:val="6281DC0A"/>
    <w:rsid w:val="64723E8A"/>
    <w:rsid w:val="6F80A9D6"/>
    <w:rsid w:val="70F3A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AF8"/>
  <w15:chartTrackingRefBased/>
  <w15:docId w15:val="{0E932848-924C-4284-BC2E-664EA1D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6BA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5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6BA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5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A2"/>
  </w:style>
  <w:style w:type="paragraph" w:styleId="Footer">
    <w:name w:val="footer"/>
    <w:basedOn w:val="Normal"/>
    <w:link w:val="FooterChar"/>
    <w:uiPriority w:val="99"/>
    <w:unhideWhenUsed/>
    <w:rsid w:val="001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A2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6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6BA"/>
    <w:rPr>
      <w:rFonts w:ascii="Lato" w:eastAsiaTheme="majorEastAsia" w:hAnsi="Lato" w:cstheme="majorBidi"/>
      <w:color w:val="00558C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16BA"/>
    <w:rPr>
      <w:rFonts w:ascii="Lato" w:eastAsiaTheme="majorEastAsia" w:hAnsi="Lato" w:cstheme="majorBidi"/>
      <w:color w:val="00558C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junction.org/news/webjunction/facilitator-guide-general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e867eb-0ccf-46b3-a8be-678a344b568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A691D-320F-4ED8-AD1D-68980358FA4C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2.xml><?xml version="1.0" encoding="utf-8"?>
<ds:datastoreItem xmlns:ds="http://schemas.openxmlformats.org/officeDocument/2006/customXml" ds:itemID="{64F043C2-1084-40FC-9EE5-FDF74F07F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1E456-ACD0-4D77-B1C2-2E39A902319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4B2AB0-D0AD-4F14-9CC3-2FAA010AE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2454</Characters>
  <Application>Microsoft Office Word</Application>
  <DocSecurity>0</DocSecurity>
  <Lines>38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Fisher,Zoe</dc:creator>
  <cp:keywords/>
  <dc:description/>
  <cp:lastModifiedBy>Kendra Morgan</cp:lastModifiedBy>
  <cp:revision>3</cp:revision>
  <dcterms:created xsi:type="dcterms:W3CDTF">2023-10-02T19:20:00Z</dcterms:created>
  <dcterms:modified xsi:type="dcterms:W3CDTF">2023-10-02T19:34:00Z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