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9E" w:rsidRDefault="001507EF" w:rsidP="00164C18">
      <w:r>
        <w:t>To:  VIAF Council</w:t>
      </w:r>
    </w:p>
    <w:p w:rsidR="001507EF" w:rsidRDefault="001507EF" w:rsidP="00164C18">
      <w:r>
        <w:t>From: OCLC</w:t>
      </w:r>
    </w:p>
    <w:p w:rsidR="001507EF" w:rsidRDefault="001507EF" w:rsidP="00164C18">
      <w:r>
        <w:t>Re:  2013 Annual Report to VIAF Council</w:t>
      </w:r>
    </w:p>
    <w:p w:rsidR="001507EF" w:rsidRDefault="001507EF" w:rsidP="00164C18">
      <w:r>
        <w:t xml:space="preserve">Date: </w:t>
      </w:r>
      <w:r w:rsidR="00BB6A95">
        <w:t xml:space="preserve"> </w:t>
      </w:r>
      <w:r w:rsidR="00B559AF">
        <w:t xml:space="preserve">12 </w:t>
      </w:r>
      <w:r>
        <w:t>August 2013</w:t>
      </w:r>
      <w:r w:rsidR="00C61B55">
        <w:t xml:space="preserve"> (revised </w:t>
      </w:r>
      <w:r w:rsidR="00B559AF">
        <w:t xml:space="preserve">13 </w:t>
      </w:r>
      <w:r w:rsidR="00C61B55">
        <w:t>November 2013)</w:t>
      </w:r>
    </w:p>
    <w:p w:rsidR="001507EF" w:rsidRDefault="001507EF" w:rsidP="00164C18"/>
    <w:p w:rsidR="00B4610D" w:rsidRDefault="00164C18" w:rsidP="00164C18">
      <w:r>
        <w:t xml:space="preserve">The </w:t>
      </w:r>
      <w:r w:rsidRPr="00164C18">
        <w:t>VIAF</w:t>
      </w:r>
      <w:r>
        <w:t>™</w:t>
      </w:r>
      <w:r w:rsidRPr="00164C18">
        <w:t xml:space="preserve"> (Virtual International Authority File</w:t>
      </w:r>
      <w:r>
        <w:t xml:space="preserve">) </w:t>
      </w:r>
      <w:r w:rsidRPr="00164C18">
        <w:t>combines multiple name authority files into a single name authority service</w:t>
      </w:r>
      <w:r w:rsidR="00871B9E">
        <w:t xml:space="preserve">.  </w:t>
      </w:r>
      <w:r w:rsidR="00B4610D">
        <w:t xml:space="preserve">It has become a significant resource for library authority work and a hub of import for authoritative linked data on the Web. </w:t>
      </w:r>
    </w:p>
    <w:p w:rsidR="00ED634E" w:rsidRDefault="00871B9E" w:rsidP="00164C18">
      <w:r>
        <w:t>Since VIAF’s transition</w:t>
      </w:r>
      <w:r w:rsidR="00B17582">
        <w:rPr>
          <w:rStyle w:val="FootnoteReference"/>
        </w:rPr>
        <w:footnoteReference w:id="1"/>
      </w:r>
      <w:r>
        <w:t xml:space="preserve"> to become an OCLC service in early 2012, the number of agencies participating has grown from </w:t>
      </w:r>
      <w:r w:rsidR="00293D61">
        <w:t>19</w:t>
      </w:r>
      <w:r w:rsidR="00B4610D">
        <w:t xml:space="preserve"> </w:t>
      </w:r>
      <w:r>
        <w:t xml:space="preserve">agencies in </w:t>
      </w:r>
      <w:r w:rsidR="00293D61">
        <w:t>22</w:t>
      </w:r>
      <w:r>
        <w:t xml:space="preserve"> countries to </w:t>
      </w:r>
      <w:r w:rsidR="00293D61">
        <w:t>34</w:t>
      </w:r>
      <w:r w:rsidR="00B4610D">
        <w:t xml:space="preserve"> </w:t>
      </w:r>
      <w:r>
        <w:t xml:space="preserve">agencies in </w:t>
      </w:r>
      <w:r w:rsidR="00293D61">
        <w:t>28</w:t>
      </w:r>
      <w:r>
        <w:t xml:space="preserve"> countries. </w:t>
      </w:r>
      <w:r w:rsidR="00ED634E">
        <w:t>Twenty-three</w:t>
      </w:r>
      <w:r w:rsidR="00293D61">
        <w:t xml:space="preserve"> (23)</w:t>
      </w:r>
      <w:r w:rsidR="00ED634E" w:rsidRPr="00AB0D3A">
        <w:t xml:space="preserve"> </w:t>
      </w:r>
      <w:r w:rsidR="00B4610D">
        <w:t xml:space="preserve">of the VIAF Contributors are </w:t>
      </w:r>
      <w:r w:rsidR="00ED634E" w:rsidRPr="00AB0D3A">
        <w:t>national libraries</w:t>
      </w:r>
      <w:r w:rsidR="00ED634E">
        <w:t xml:space="preserve">, </w:t>
      </w:r>
      <w:r w:rsidR="00ED634E" w:rsidRPr="00AB0D3A">
        <w:t xml:space="preserve">and </w:t>
      </w:r>
      <w:r w:rsidR="00817553">
        <w:t xml:space="preserve">an </w:t>
      </w:r>
      <w:r w:rsidR="00ED634E" w:rsidRPr="00AB0D3A">
        <w:t xml:space="preserve">additional </w:t>
      </w:r>
      <w:r w:rsidR="00293D61">
        <w:t>10</w:t>
      </w:r>
      <w:r w:rsidR="00817553">
        <w:t xml:space="preserve"> </w:t>
      </w:r>
      <w:r w:rsidR="00ED634E" w:rsidRPr="00AB0D3A">
        <w:t>national libraries provide data</w:t>
      </w:r>
      <w:r w:rsidR="00B4610D">
        <w:t xml:space="preserve"> to VIAF</w:t>
      </w:r>
      <w:r w:rsidR="00ED634E" w:rsidRPr="00AB0D3A">
        <w:t xml:space="preserve"> through consortia or other arrangem</w:t>
      </w:r>
      <w:r w:rsidR="00ED634E">
        <w:t xml:space="preserve">ents. </w:t>
      </w:r>
    </w:p>
    <w:p w:rsidR="0077521D" w:rsidRDefault="00817553" w:rsidP="006135AC">
      <w:pPr>
        <w:pStyle w:val="Heading2"/>
        <w:spacing w:after="120"/>
      </w:pPr>
      <w:r>
        <w:t>VIAF</w:t>
      </w:r>
      <w:r w:rsidR="006135AC">
        <w:t xml:space="preserve"> Contributors and Data Sources</w:t>
      </w:r>
    </w:p>
    <w:p w:rsidR="00E562F3" w:rsidRDefault="00A0112F" w:rsidP="00E562F3">
      <w:r>
        <w:t xml:space="preserve">The following agencies have become new </w:t>
      </w:r>
      <w:r w:rsidR="00B17582">
        <w:t>VIAF Contributors</w:t>
      </w:r>
      <w:r w:rsidR="00EE5B53">
        <w:rPr>
          <w:rStyle w:val="FootnoteReference"/>
        </w:rPr>
        <w:footnoteReference w:id="2"/>
      </w:r>
      <w:r>
        <w:t xml:space="preserve"> since 2012</w:t>
      </w:r>
      <w:r w:rsidR="00B17582">
        <w:t>:</w:t>
      </w:r>
    </w:p>
    <w:p w:rsidR="00A0112F" w:rsidRDefault="00C61B55" w:rsidP="00C61B55">
      <w:pPr>
        <w:pStyle w:val="ListParagraph"/>
        <w:numPr>
          <w:ilvl w:val="0"/>
          <w:numId w:val="1"/>
        </w:numPr>
        <w:spacing w:after="120"/>
      </w:pPr>
      <w:r w:rsidRPr="00226769">
        <w:t>Vlaamse openbare bibliotheken (Flemish Public Libraries)</w:t>
      </w:r>
      <w:r w:rsidR="00A0112F">
        <w:tab/>
      </w:r>
    </w:p>
    <w:p w:rsidR="00A0112F" w:rsidRDefault="00A0112F" w:rsidP="00A0112F">
      <w:pPr>
        <w:pStyle w:val="ListParagraph"/>
        <w:numPr>
          <w:ilvl w:val="0"/>
          <w:numId w:val="1"/>
        </w:numPr>
        <w:spacing w:after="120"/>
      </w:pPr>
      <w:r>
        <w:t>Système Universitaire de Documentation (Sudoc) (University Documentation System)  [France]</w:t>
      </w:r>
    </w:p>
    <w:p w:rsidR="00A0112F" w:rsidRDefault="00A0112F" w:rsidP="00A0112F">
      <w:pPr>
        <w:pStyle w:val="ListParagraph"/>
        <w:numPr>
          <w:ilvl w:val="0"/>
          <w:numId w:val="1"/>
        </w:numPr>
        <w:spacing w:after="120"/>
      </w:pPr>
      <w:r>
        <w:t xml:space="preserve">Koninklijke Bibliotheek </w:t>
      </w:r>
      <w:r w:rsidR="00956234">
        <w:t>(</w:t>
      </w:r>
      <w:r>
        <w:t>National Library of the Netherlands</w:t>
      </w:r>
      <w:r w:rsidR="00956234">
        <w:t>)</w:t>
      </w:r>
      <w:r>
        <w:tab/>
      </w:r>
    </w:p>
    <w:p w:rsidR="00A0112F" w:rsidRDefault="00956234" w:rsidP="00A0112F">
      <w:pPr>
        <w:pStyle w:val="ListParagraph"/>
        <w:numPr>
          <w:ilvl w:val="0"/>
          <w:numId w:val="1"/>
        </w:numPr>
        <w:spacing w:after="120"/>
      </w:pPr>
      <w:r>
        <w:t>Nasjonalbiblioteket (National Library of Norway)</w:t>
      </w:r>
    </w:p>
    <w:p w:rsidR="00A0112F" w:rsidRDefault="00A0112F" w:rsidP="00A0112F">
      <w:pPr>
        <w:pStyle w:val="ListParagraph"/>
        <w:numPr>
          <w:ilvl w:val="0"/>
          <w:numId w:val="1"/>
        </w:numPr>
        <w:spacing w:after="120"/>
      </w:pPr>
      <w:r>
        <w:t>Dansk BiblioteksCenter (Danish Library Center)</w:t>
      </w:r>
    </w:p>
    <w:p w:rsidR="00A0112F" w:rsidRDefault="00A0112F" w:rsidP="00A0112F">
      <w:pPr>
        <w:pStyle w:val="ListParagraph"/>
        <w:numPr>
          <w:ilvl w:val="0"/>
          <w:numId w:val="1"/>
        </w:numPr>
        <w:spacing w:after="120"/>
      </w:pPr>
      <w:r>
        <w:rPr>
          <w:rFonts w:ascii="MS Gothic" w:eastAsia="MS Gothic" w:hAnsi="MS Gothic" w:cs="MS Gothic" w:hint="eastAsia"/>
        </w:rPr>
        <w:t>国立国会図書館</w:t>
      </w:r>
      <w:r>
        <w:t xml:space="preserve"> (National Diet Library)</w:t>
      </w:r>
    </w:p>
    <w:p w:rsidR="00A0112F" w:rsidRDefault="00A0112F" w:rsidP="00A0112F">
      <w:pPr>
        <w:pStyle w:val="ListParagraph"/>
        <w:numPr>
          <w:ilvl w:val="0"/>
          <w:numId w:val="1"/>
        </w:numPr>
        <w:spacing w:after="120"/>
      </w:pPr>
      <w:r>
        <w:t xml:space="preserve">National Library Board, Singapore </w:t>
      </w:r>
    </w:p>
    <w:p w:rsidR="00A0112F" w:rsidRDefault="00A0112F" w:rsidP="00A0112F">
      <w:pPr>
        <w:pStyle w:val="ListParagraph"/>
        <w:numPr>
          <w:ilvl w:val="0"/>
          <w:numId w:val="1"/>
        </w:numPr>
        <w:spacing w:after="120"/>
      </w:pPr>
      <w:r>
        <w:t>Latvijas Nacionālā bibliotēka (National Library of Latvia)</w:t>
      </w:r>
    </w:p>
    <w:p w:rsidR="00A0112F" w:rsidRDefault="00A0112F" w:rsidP="00A0112F">
      <w:pPr>
        <w:pStyle w:val="ListParagraph"/>
        <w:numPr>
          <w:ilvl w:val="0"/>
          <w:numId w:val="1"/>
        </w:numPr>
        <w:spacing w:after="120"/>
      </w:pPr>
      <w:r>
        <w:t>Biblioteka Narodowa (National Library of Poland)</w:t>
      </w:r>
    </w:p>
    <w:p w:rsidR="00A0112F" w:rsidRDefault="00A0112F" w:rsidP="00A0112F">
      <w:pPr>
        <w:pStyle w:val="ListParagraph"/>
        <w:numPr>
          <w:ilvl w:val="0"/>
          <w:numId w:val="1"/>
        </w:numPr>
        <w:spacing w:after="120"/>
      </w:pPr>
      <w:r>
        <w:t>IZUM (Institut informacijskih znanosti) (IZUM (Institute of Information Science))</w:t>
      </w:r>
      <w:r>
        <w:tab/>
      </w:r>
    </w:p>
    <w:p w:rsidR="00A0112F" w:rsidRDefault="00A0112F" w:rsidP="00A0112F">
      <w:pPr>
        <w:pStyle w:val="ListParagraph"/>
        <w:numPr>
          <w:ilvl w:val="0"/>
          <w:numId w:val="1"/>
        </w:numPr>
        <w:spacing w:after="120"/>
      </w:pPr>
      <w:r>
        <w:t>Nacionalna i sveučilišna knjižnica u Zagrebu (National and University Library in Zagreb)</w:t>
      </w:r>
    </w:p>
    <w:p w:rsidR="00A0112F" w:rsidRDefault="00A0112F" w:rsidP="00A0112F">
      <w:pPr>
        <w:pStyle w:val="ListParagraph"/>
        <w:numPr>
          <w:ilvl w:val="0"/>
          <w:numId w:val="1"/>
        </w:numPr>
        <w:spacing w:after="120"/>
      </w:pPr>
      <w:r>
        <w:t>Biblioteca de Catalunya (National Library of Catalonia)</w:t>
      </w:r>
    </w:p>
    <w:p w:rsidR="00A0112F" w:rsidRDefault="00A0112F" w:rsidP="00A0112F">
      <w:pPr>
        <w:pStyle w:val="ListParagraph"/>
        <w:numPr>
          <w:ilvl w:val="0"/>
          <w:numId w:val="1"/>
        </w:numPr>
        <w:spacing w:after="120"/>
      </w:pPr>
      <w:r>
        <w:t>Bibliothèque nationale de Luxembourg (National Library of Luxembourg)</w:t>
      </w:r>
    </w:p>
    <w:p w:rsidR="00B559AF" w:rsidRDefault="00B559AF" w:rsidP="00B559AF">
      <w:pPr>
        <w:pStyle w:val="ListParagraph"/>
        <w:numPr>
          <w:ilvl w:val="0"/>
          <w:numId w:val="1"/>
        </w:numPr>
        <w:spacing w:after="120"/>
      </w:pPr>
      <w:r>
        <w:rPr>
          <w:rFonts w:ascii="Arial" w:hAnsi="Arial" w:cs="Arial"/>
        </w:rPr>
        <w:t>المكتبة</w:t>
      </w:r>
      <w:r>
        <w:t xml:space="preserve"> </w:t>
      </w:r>
      <w:r>
        <w:rPr>
          <w:rFonts w:ascii="Arial" w:hAnsi="Arial" w:cs="Arial"/>
        </w:rPr>
        <w:t>الوطنية</w:t>
      </w:r>
      <w:r>
        <w:t xml:space="preserve"> </w:t>
      </w:r>
      <w:r>
        <w:rPr>
          <w:rFonts w:ascii="Arial" w:hAnsi="Arial" w:cs="Arial"/>
        </w:rPr>
        <w:t>اللبنانية</w:t>
      </w:r>
      <w:r>
        <w:t xml:space="preserve"> (</w:t>
      </w:r>
      <w:r w:rsidRPr="0080750A">
        <w:t>Bibliothèque nationale du Liban</w:t>
      </w:r>
      <w:r>
        <w:t xml:space="preserve"> | Lebanese National Library)</w:t>
      </w:r>
    </w:p>
    <w:p w:rsidR="00A0112F" w:rsidRDefault="00A0112F" w:rsidP="00A0112F">
      <w:pPr>
        <w:pStyle w:val="ListParagraph"/>
        <w:spacing w:after="120"/>
      </w:pPr>
    </w:p>
    <w:p w:rsidR="001507EF" w:rsidRDefault="001507EF" w:rsidP="00A0112F">
      <w:pPr>
        <w:pStyle w:val="ListParagraph"/>
        <w:spacing w:after="120"/>
      </w:pPr>
    </w:p>
    <w:p w:rsidR="00956234" w:rsidRDefault="001507EF" w:rsidP="00956234">
      <w:pPr>
        <w:pStyle w:val="ListParagraph"/>
        <w:keepNext/>
        <w:spacing w:after="120"/>
        <w:ind w:left="0"/>
      </w:pPr>
      <w:r w:rsidRPr="001507EF">
        <w:rPr>
          <w:noProof/>
        </w:rPr>
        <w:drawing>
          <wp:inline distT="0" distB="0" distL="0" distR="0">
            <wp:extent cx="5667375" cy="3028951"/>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507EF" w:rsidRDefault="00956234" w:rsidP="00956234">
      <w:pPr>
        <w:pStyle w:val="Caption"/>
      </w:pPr>
      <w:r>
        <w:t xml:space="preserve">Figure </w:t>
      </w:r>
      <w:fldSimple w:instr=" SEQ Figure \* ARABIC ">
        <w:r w:rsidR="00B62AAC">
          <w:rPr>
            <w:noProof/>
          </w:rPr>
          <w:t>1</w:t>
        </w:r>
      </w:fldSimple>
      <w:r>
        <w:t>: Agencies added to VIAF (note: 2013</w:t>
      </w:r>
      <w:r w:rsidR="00CD50B3">
        <w:t xml:space="preserve"> data</w:t>
      </w:r>
      <w:r>
        <w:t xml:space="preserve"> is to July)*</w:t>
      </w:r>
    </w:p>
    <w:p w:rsidR="00956234" w:rsidRDefault="00956234">
      <w:r>
        <w:t>*This count includes the host agency, OCLC, and the following</w:t>
      </w:r>
      <w:r w:rsidR="000A1E9D">
        <w:t xml:space="preserve"> (current as of July 31, 2013)</w:t>
      </w:r>
      <w:r>
        <w:t>:</w:t>
      </w:r>
    </w:p>
    <w:p w:rsidR="00956234" w:rsidRDefault="00956234" w:rsidP="00956234">
      <w:pPr>
        <w:spacing w:after="0"/>
      </w:pPr>
      <w:r>
        <w:t>Two agencies that have not entered into an updated contract:</w:t>
      </w:r>
    </w:p>
    <w:p w:rsidR="00956234" w:rsidRDefault="00956234" w:rsidP="00956234">
      <w:pPr>
        <w:pStyle w:val="ListParagraph"/>
        <w:numPr>
          <w:ilvl w:val="0"/>
          <w:numId w:val="3"/>
        </w:numPr>
        <w:spacing w:after="0"/>
      </w:pPr>
      <w:r>
        <w:t>Országos Széchényi Könyvtár (National Széchényi Library)</w:t>
      </w:r>
    </w:p>
    <w:p w:rsidR="00956234" w:rsidRPr="00956234" w:rsidRDefault="00956234" w:rsidP="00956234">
      <w:pPr>
        <w:pStyle w:val="ListParagraph"/>
        <w:numPr>
          <w:ilvl w:val="0"/>
          <w:numId w:val="3"/>
        </w:numPr>
        <w:spacing w:after="0"/>
        <w:rPr>
          <w:rFonts w:ascii="Calibri" w:eastAsiaTheme="majorEastAsia" w:hAnsi="Calibri" w:cstheme="majorBidi"/>
          <w:b/>
          <w:bCs/>
          <w:sz w:val="24"/>
          <w:szCs w:val="26"/>
        </w:rPr>
      </w:pPr>
      <w:r>
        <w:t>Российской государственной библиотеки (Russian State Library)</w:t>
      </w:r>
    </w:p>
    <w:p w:rsidR="00956234" w:rsidRDefault="00956234" w:rsidP="00956234">
      <w:pPr>
        <w:spacing w:before="120" w:after="0"/>
      </w:pPr>
      <w:r>
        <w:t xml:space="preserve">And a third agency with </w:t>
      </w:r>
      <w:r w:rsidR="00BB6A95">
        <w:t>a</w:t>
      </w:r>
      <w:r>
        <w:t xml:space="preserve"> contract pending:</w:t>
      </w:r>
    </w:p>
    <w:p w:rsidR="000A1E9D" w:rsidRPr="00BF324D" w:rsidRDefault="00956234" w:rsidP="00956234">
      <w:pPr>
        <w:pStyle w:val="ListParagraph"/>
        <w:numPr>
          <w:ilvl w:val="0"/>
          <w:numId w:val="4"/>
        </w:numPr>
        <w:spacing w:after="0"/>
        <w:rPr>
          <w:rFonts w:ascii="Calibri" w:eastAsiaTheme="majorEastAsia" w:hAnsi="Calibri" w:cstheme="majorBidi"/>
          <w:b/>
          <w:bCs/>
          <w:sz w:val="24"/>
          <w:szCs w:val="26"/>
        </w:rPr>
      </w:pPr>
      <w:r>
        <w:t>IZUM (Institut informacijskih znanosti) (IZUM (Institute of Information Science))</w:t>
      </w:r>
      <w:r>
        <w:tab/>
      </w:r>
    </w:p>
    <w:p w:rsidR="00BF324D" w:rsidRDefault="00BF324D" w:rsidP="00BF324D">
      <w:pPr>
        <w:spacing w:after="0"/>
        <w:rPr>
          <w:rFonts w:ascii="Calibri" w:eastAsiaTheme="majorEastAsia" w:hAnsi="Calibri" w:cstheme="majorBidi"/>
          <w:b/>
          <w:bCs/>
          <w:sz w:val="24"/>
          <w:szCs w:val="26"/>
        </w:rPr>
      </w:pPr>
    </w:p>
    <w:p w:rsidR="00BF324D" w:rsidRPr="00BF324D" w:rsidRDefault="001F3761" w:rsidP="00BF324D">
      <w:pPr>
        <w:spacing w:after="0"/>
        <w:rPr>
          <w:rFonts w:ascii="Calibri" w:eastAsiaTheme="majorEastAsia" w:hAnsi="Calibri" w:cstheme="majorBidi"/>
          <w:bCs/>
          <w:sz w:val="24"/>
          <w:szCs w:val="26"/>
        </w:rPr>
      </w:pPr>
      <w:r w:rsidRPr="001F3761">
        <w:rPr>
          <w:rFonts w:ascii="Calibri" w:eastAsiaTheme="majorEastAsia" w:hAnsi="Calibri" w:cstheme="majorBidi"/>
          <w:bCs/>
          <w:i/>
          <w:sz w:val="24"/>
          <w:szCs w:val="26"/>
        </w:rPr>
        <w:t>Reduction:</w:t>
      </w:r>
      <w:r>
        <w:rPr>
          <w:rFonts w:ascii="Calibri" w:eastAsiaTheme="majorEastAsia" w:hAnsi="Calibri" w:cstheme="majorBidi"/>
          <w:bCs/>
          <w:sz w:val="24"/>
          <w:szCs w:val="26"/>
        </w:rPr>
        <w:t xml:space="preserve"> After initially providing their full authority file, </w:t>
      </w:r>
      <w:r w:rsidR="00BF324D" w:rsidRPr="00BF324D">
        <w:rPr>
          <w:rFonts w:ascii="Calibri" w:eastAsiaTheme="majorEastAsia" w:hAnsi="Calibri" w:cstheme="majorBidi"/>
          <w:bCs/>
          <w:sz w:val="24"/>
          <w:szCs w:val="26"/>
        </w:rPr>
        <w:t>BIBSYS</w:t>
      </w:r>
      <w:r>
        <w:rPr>
          <w:rFonts w:ascii="Calibri" w:eastAsiaTheme="majorEastAsia" w:hAnsi="Calibri" w:cstheme="majorBidi"/>
          <w:bCs/>
          <w:sz w:val="24"/>
          <w:szCs w:val="26"/>
        </w:rPr>
        <w:t xml:space="preserve"> chose to reduce the data provided </w:t>
      </w:r>
      <w:r w:rsidR="00102346">
        <w:rPr>
          <w:rFonts w:ascii="Calibri" w:eastAsiaTheme="majorEastAsia" w:hAnsi="Calibri" w:cstheme="majorBidi"/>
          <w:bCs/>
          <w:sz w:val="24"/>
          <w:szCs w:val="26"/>
        </w:rPr>
        <w:t xml:space="preserve">for VIAF </w:t>
      </w:r>
      <w:r>
        <w:rPr>
          <w:rFonts w:ascii="Calibri" w:eastAsiaTheme="majorEastAsia" w:hAnsi="Calibri" w:cstheme="majorBidi"/>
          <w:bCs/>
          <w:sz w:val="24"/>
          <w:szCs w:val="26"/>
        </w:rPr>
        <w:t>to authority</w:t>
      </w:r>
      <w:r w:rsidR="00102346">
        <w:rPr>
          <w:rFonts w:ascii="Calibri" w:eastAsiaTheme="majorEastAsia" w:hAnsi="Calibri" w:cstheme="majorBidi"/>
          <w:bCs/>
          <w:sz w:val="24"/>
          <w:szCs w:val="26"/>
        </w:rPr>
        <w:t xml:space="preserve"> and bibliographic</w:t>
      </w:r>
      <w:r>
        <w:rPr>
          <w:rFonts w:ascii="Calibri" w:eastAsiaTheme="majorEastAsia" w:hAnsi="Calibri" w:cstheme="majorBidi"/>
          <w:bCs/>
          <w:sz w:val="24"/>
          <w:szCs w:val="26"/>
        </w:rPr>
        <w:t xml:space="preserve"> records </w:t>
      </w:r>
      <w:r w:rsidR="00102346">
        <w:rPr>
          <w:rFonts w:ascii="Calibri" w:eastAsiaTheme="majorEastAsia" w:hAnsi="Calibri" w:cstheme="majorBidi"/>
          <w:bCs/>
          <w:sz w:val="24"/>
          <w:szCs w:val="26"/>
        </w:rPr>
        <w:t xml:space="preserve">with </w:t>
      </w:r>
      <w:r w:rsidR="00BF324D" w:rsidRPr="00BF324D">
        <w:rPr>
          <w:rFonts w:ascii="Calibri" w:eastAsiaTheme="majorEastAsia" w:hAnsi="Calibri" w:cstheme="majorBidi"/>
          <w:bCs/>
          <w:sz w:val="24"/>
          <w:szCs w:val="26"/>
        </w:rPr>
        <w:t>Norwegian national</w:t>
      </w:r>
      <w:r w:rsidR="00102346">
        <w:rPr>
          <w:rFonts w:ascii="Calibri" w:eastAsiaTheme="majorEastAsia" w:hAnsi="Calibri" w:cstheme="majorBidi"/>
          <w:bCs/>
          <w:sz w:val="24"/>
          <w:szCs w:val="26"/>
        </w:rPr>
        <w:t xml:space="preserve"> status</w:t>
      </w:r>
      <w:r>
        <w:rPr>
          <w:rFonts w:ascii="Calibri" w:eastAsiaTheme="majorEastAsia" w:hAnsi="Calibri" w:cstheme="majorBidi"/>
          <w:bCs/>
          <w:sz w:val="24"/>
          <w:szCs w:val="26"/>
        </w:rPr>
        <w:t>.</w:t>
      </w:r>
    </w:p>
    <w:p w:rsidR="000A1E9D" w:rsidRDefault="000A1E9D" w:rsidP="000A1E9D">
      <w:pPr>
        <w:spacing w:after="0"/>
      </w:pPr>
    </w:p>
    <w:p w:rsidR="006135AC" w:rsidRDefault="000A1E9D" w:rsidP="000A1E9D">
      <w:pPr>
        <w:spacing w:after="0"/>
      </w:pPr>
      <w:r>
        <w:t>VIAF has also added a non-Contributor source file, Wikipedia</w:t>
      </w:r>
      <w:r w:rsidR="006135AC">
        <w:t xml:space="preserve"> (</w:t>
      </w:r>
      <w:hyperlink r:id="rId9" w:history="1">
        <w:r w:rsidR="006135AC" w:rsidRPr="00513C45">
          <w:rPr>
            <w:rStyle w:val="Hyperlink"/>
          </w:rPr>
          <w:t>http://www.wikipedia.org</w:t>
        </w:r>
      </w:hyperlink>
      <w:r w:rsidR="006135AC">
        <w:t>), and with assistance from the OCLC Wikipedian-in-Residence, Max Klein, VIAF links can now be automatically appended to appropriate Wikipedia articles.</w:t>
      </w:r>
      <w:r w:rsidR="00EE5B53">
        <w:rPr>
          <w:rStyle w:val="FootnoteReference"/>
        </w:rPr>
        <w:footnoteReference w:id="3"/>
      </w:r>
    </w:p>
    <w:p w:rsidR="006135AC" w:rsidRDefault="006135AC" w:rsidP="000A1E9D">
      <w:pPr>
        <w:spacing w:after="0"/>
      </w:pPr>
    </w:p>
    <w:p w:rsidR="006135AC" w:rsidRDefault="00EE5B53" w:rsidP="000A1E9D">
      <w:pPr>
        <w:spacing w:after="0"/>
      </w:pPr>
      <w:r>
        <w:t xml:space="preserve">An </w:t>
      </w:r>
      <w:r w:rsidR="000A1E9D">
        <w:t xml:space="preserve">exploratory collaboration with the </w:t>
      </w:r>
      <w:r w:rsidR="000A1E9D" w:rsidRPr="000A1E9D">
        <w:t>Syriac Reference Portal</w:t>
      </w:r>
      <w:r w:rsidR="000A1E9D">
        <w:t xml:space="preserve"> </w:t>
      </w:r>
      <w:r w:rsidR="000A1E9D" w:rsidRPr="000A1E9D">
        <w:t xml:space="preserve"> (</w:t>
      </w:r>
      <w:hyperlink r:id="rId10" w:history="1">
        <w:r w:rsidR="000A1E9D" w:rsidRPr="00513C45">
          <w:rPr>
            <w:rStyle w:val="Hyperlink"/>
          </w:rPr>
          <w:t>http://www.syriac.ua.edu/demo</w:t>
        </w:r>
      </w:hyperlink>
      <w:r w:rsidR="000A1E9D">
        <w:t xml:space="preserve"> </w:t>
      </w:r>
      <w:r w:rsidR="000A1E9D" w:rsidRPr="000A1E9D">
        <w:t>)</w:t>
      </w:r>
      <w:r w:rsidR="000A1E9D">
        <w:t xml:space="preserve"> </w:t>
      </w:r>
      <w:r>
        <w:t xml:space="preserve">has proven very successful and </w:t>
      </w:r>
      <w:r w:rsidR="000A1E9D">
        <w:t xml:space="preserve">will be transitioned to make the Syriac Reference Portal </w:t>
      </w:r>
      <w:r>
        <w:t>an additional</w:t>
      </w:r>
      <w:r w:rsidR="000A1E9D">
        <w:t xml:space="preserve"> non-Contributor source file for VIAF.  </w:t>
      </w:r>
    </w:p>
    <w:p w:rsidR="006135AC" w:rsidRDefault="006135AC" w:rsidP="000A1E9D">
      <w:pPr>
        <w:spacing w:after="0"/>
      </w:pPr>
    </w:p>
    <w:p w:rsidR="00956234" w:rsidRPr="000A1E9D" w:rsidRDefault="006135AC" w:rsidP="000A1E9D">
      <w:pPr>
        <w:spacing w:after="0"/>
        <w:rPr>
          <w:rFonts w:ascii="Calibri" w:eastAsiaTheme="majorEastAsia" w:hAnsi="Calibri" w:cstheme="majorBidi"/>
          <w:b/>
          <w:bCs/>
          <w:sz w:val="24"/>
          <w:szCs w:val="26"/>
        </w:rPr>
      </w:pPr>
      <w:r>
        <w:t>VIAF has worked closely with the ISNI organization (</w:t>
      </w:r>
      <w:hyperlink r:id="rId11" w:history="1">
        <w:r w:rsidRPr="00513C45">
          <w:rPr>
            <w:rStyle w:val="Hyperlink"/>
          </w:rPr>
          <w:t>http://www.isni.org</w:t>
        </w:r>
      </w:hyperlink>
      <w:r>
        <w:t xml:space="preserve"> ) to align ISNI (International Standard Name Identifier) identifiers and VIAF clusters and to enrich VIAF with ISNI links. </w:t>
      </w:r>
      <w:r w:rsidR="00956234">
        <w:br w:type="page"/>
      </w:r>
    </w:p>
    <w:p w:rsidR="0077521D" w:rsidRDefault="0077521D" w:rsidP="006135AC">
      <w:pPr>
        <w:pStyle w:val="Heading2"/>
        <w:spacing w:after="120"/>
      </w:pPr>
      <w:r>
        <w:lastRenderedPageBreak/>
        <w:t>VIAF</w:t>
      </w:r>
      <w:r w:rsidR="000A1E9D">
        <w:t xml:space="preserve"> Data Inputs and Outputs</w:t>
      </w:r>
    </w:p>
    <w:p w:rsidR="00E562F3" w:rsidRDefault="00B17582" w:rsidP="00164C18">
      <w:r>
        <w:t>The source data upon which VIAF is built has grown to 33 million authority records and 107 million bibliographic records</w:t>
      </w:r>
      <w:r w:rsidR="0077521D">
        <w:t>.</w:t>
      </w:r>
    </w:p>
    <w:p w:rsidR="00B17582" w:rsidRPr="0077521D" w:rsidRDefault="00B17582" w:rsidP="00B17582">
      <w:pPr>
        <w:spacing w:after="0"/>
        <w:rPr>
          <w:rFonts w:ascii="Calibri" w:hAnsi="Calibri"/>
          <w:b/>
          <w:bCs/>
        </w:rPr>
      </w:pPr>
      <w:r w:rsidRPr="0077521D">
        <w:rPr>
          <w:rFonts w:ascii="Calibri" w:hAnsi="Calibri"/>
          <w:b/>
          <w:bCs/>
        </w:rPr>
        <w:t>Source authority records by type:</w:t>
      </w:r>
    </w:p>
    <w:p w:rsidR="00B17582" w:rsidRPr="0077521D" w:rsidRDefault="00B17582" w:rsidP="00B17582">
      <w:pPr>
        <w:spacing w:after="0"/>
        <w:rPr>
          <w:rFonts w:ascii="Calibri" w:hAnsi="Calibri"/>
        </w:rPr>
      </w:pPr>
      <w:r w:rsidRPr="0077521D">
        <w:rPr>
          <w:rFonts w:ascii="Calibri" w:hAnsi="Calibri"/>
        </w:rPr>
        <w:t>Personal: 26.4 million</w:t>
      </w:r>
    </w:p>
    <w:p w:rsidR="00B17582" w:rsidRPr="0077521D" w:rsidRDefault="00B17582" w:rsidP="00B17582">
      <w:pPr>
        <w:spacing w:after="0"/>
        <w:rPr>
          <w:rFonts w:ascii="Calibri" w:hAnsi="Calibri"/>
        </w:rPr>
      </w:pPr>
      <w:r w:rsidRPr="0077521D">
        <w:rPr>
          <w:rFonts w:ascii="Calibri" w:hAnsi="Calibri"/>
        </w:rPr>
        <w:t>Corporate: 5.1 million (includes conferences)</w:t>
      </w:r>
    </w:p>
    <w:p w:rsidR="00B17582" w:rsidRPr="0077521D" w:rsidRDefault="00B17582" w:rsidP="00B17582">
      <w:pPr>
        <w:spacing w:after="0"/>
        <w:rPr>
          <w:rFonts w:ascii="Calibri" w:hAnsi="Calibri"/>
        </w:rPr>
      </w:pPr>
      <w:r w:rsidRPr="0077521D">
        <w:rPr>
          <w:rFonts w:ascii="Calibri" w:hAnsi="Calibri"/>
        </w:rPr>
        <w:t>Geographic:  0.4 million (mostly jurisdictional)</w:t>
      </w:r>
    </w:p>
    <w:p w:rsidR="00B17582" w:rsidRDefault="00B17582" w:rsidP="00B17582">
      <w:pPr>
        <w:spacing w:after="0"/>
        <w:rPr>
          <w:rFonts w:ascii="Calibri" w:hAnsi="Calibri"/>
        </w:rPr>
      </w:pPr>
      <w:r w:rsidRPr="0077521D">
        <w:rPr>
          <w:rFonts w:ascii="Calibri" w:hAnsi="Calibri"/>
        </w:rPr>
        <w:t>Uniform titles: 1.8 million</w:t>
      </w:r>
    </w:p>
    <w:p w:rsidR="006135AC" w:rsidRDefault="006135AC" w:rsidP="00B17582">
      <w:pPr>
        <w:spacing w:after="0"/>
        <w:rPr>
          <w:rFonts w:ascii="Calibri" w:hAnsi="Calibri"/>
        </w:rPr>
      </w:pPr>
    </w:p>
    <w:p w:rsidR="001507EF" w:rsidRDefault="001507EF" w:rsidP="00B17582">
      <w:pPr>
        <w:spacing w:after="0"/>
        <w:rPr>
          <w:rFonts w:ascii="Calibri" w:hAnsi="Calibri"/>
        </w:rPr>
      </w:pPr>
    </w:p>
    <w:p w:rsidR="00B62AAC" w:rsidRDefault="001507EF" w:rsidP="00B62AAC">
      <w:pPr>
        <w:keepNext/>
        <w:spacing w:after="0"/>
      </w:pPr>
      <w:r w:rsidRPr="001507EF">
        <w:rPr>
          <w:rFonts w:ascii="Calibri" w:hAnsi="Calibri"/>
          <w:noProof/>
        </w:rPr>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507EF" w:rsidRPr="0077521D" w:rsidRDefault="00B62AAC" w:rsidP="00B62AAC">
      <w:pPr>
        <w:pStyle w:val="Caption"/>
        <w:rPr>
          <w:rFonts w:ascii="Calibri" w:hAnsi="Calibri"/>
        </w:rPr>
      </w:pPr>
      <w:r>
        <w:t xml:space="preserve">Figure </w:t>
      </w:r>
      <w:fldSimple w:instr=" SEQ Figure \* ARABIC ">
        <w:r>
          <w:rPr>
            <w:noProof/>
          </w:rPr>
          <w:t>2</w:t>
        </w:r>
      </w:fldSimple>
      <w:r>
        <w:t>: Source authority records by type (Source: OCLC)</w:t>
      </w:r>
    </w:p>
    <w:p w:rsidR="00B17582" w:rsidRPr="0077521D" w:rsidRDefault="00B17582" w:rsidP="00B17582">
      <w:pPr>
        <w:spacing w:after="0"/>
        <w:rPr>
          <w:rFonts w:ascii="Calibri" w:hAnsi="Calibri"/>
        </w:rPr>
      </w:pPr>
    </w:p>
    <w:p w:rsidR="005E4B52" w:rsidRDefault="005E4B52">
      <w:pPr>
        <w:rPr>
          <w:rFonts w:ascii="Calibri" w:hAnsi="Calibri"/>
        </w:rPr>
      </w:pPr>
    </w:p>
    <w:p w:rsidR="001507EF" w:rsidRDefault="005E4B52">
      <w:pPr>
        <w:rPr>
          <w:rFonts w:ascii="Calibri" w:hAnsi="Calibri"/>
        </w:rPr>
      </w:pPr>
      <w:r>
        <w:rPr>
          <w:rFonts w:ascii="Calibri" w:hAnsi="Calibri"/>
        </w:rPr>
        <w:br w:type="page"/>
      </w:r>
    </w:p>
    <w:p w:rsidR="003F0AC4" w:rsidRDefault="003F0AC4">
      <w:pPr>
        <w:rPr>
          <w:rFonts w:ascii="Calibri" w:hAnsi="Calibri"/>
        </w:rPr>
        <w:sectPr w:rsidR="003F0AC4" w:rsidSect="009A3EF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576" w:gutter="0"/>
          <w:cols w:space="720"/>
          <w:docGrid w:linePitch="360"/>
        </w:sectPr>
      </w:pPr>
    </w:p>
    <w:tbl>
      <w:tblPr>
        <w:tblW w:w="5179" w:type="pct"/>
        <w:tblLayout w:type="fixed"/>
        <w:tblLook w:val="04A0"/>
      </w:tblPr>
      <w:tblGrid>
        <w:gridCol w:w="2628"/>
        <w:gridCol w:w="810"/>
        <w:gridCol w:w="1261"/>
        <w:gridCol w:w="1171"/>
        <w:gridCol w:w="901"/>
        <w:gridCol w:w="1226"/>
        <w:gridCol w:w="1258"/>
        <w:gridCol w:w="901"/>
        <w:gridCol w:w="901"/>
        <w:gridCol w:w="1316"/>
        <w:gridCol w:w="1275"/>
      </w:tblGrid>
      <w:tr w:rsidR="00EE1120" w:rsidRPr="003F0AC4" w:rsidTr="00EE1120">
        <w:trPr>
          <w:trHeight w:val="1350"/>
          <w:tblHeader/>
        </w:trPr>
        <w:tc>
          <w:tcPr>
            <w:tcW w:w="963" w:type="pct"/>
            <w:tcBorders>
              <w:top w:val="nil"/>
              <w:left w:val="nil"/>
              <w:bottom w:val="single" w:sz="12" w:space="0" w:color="FFFFFF"/>
              <w:right w:val="single" w:sz="4" w:space="0" w:color="FFFFFF"/>
            </w:tcBorders>
            <w:shd w:val="clear" w:color="4F81BD" w:fill="4F81BD"/>
            <w:vAlign w:val="bottom"/>
            <w:hideMark/>
          </w:tcPr>
          <w:p w:rsidR="003F0AC4" w:rsidRPr="003F0AC4" w:rsidRDefault="005E4B52" w:rsidP="003F0AC4">
            <w:pPr>
              <w:spacing w:after="0" w:line="240" w:lineRule="auto"/>
              <w:rPr>
                <w:rFonts w:ascii="Calibri" w:eastAsia="Times New Roman" w:hAnsi="Calibri" w:cs="Times New Roman"/>
                <w:b/>
                <w:bCs/>
                <w:color w:val="FFFFFF"/>
                <w:sz w:val="16"/>
              </w:rPr>
            </w:pPr>
            <w:r>
              <w:rPr>
                <w:rFonts w:ascii="Calibri" w:hAnsi="Calibri"/>
              </w:rPr>
              <w:lastRenderedPageBreak/>
              <w:br w:type="page"/>
            </w:r>
            <w:r w:rsidR="003F0AC4" w:rsidRPr="003F0AC4">
              <w:rPr>
                <w:rFonts w:ascii="Calibri" w:eastAsia="Times New Roman" w:hAnsi="Calibri" w:cs="Times New Roman"/>
                <w:b/>
                <w:bCs/>
                <w:color w:val="FFFFFF"/>
                <w:sz w:val="16"/>
              </w:rPr>
              <w:t>Source name</w:t>
            </w:r>
          </w:p>
        </w:tc>
        <w:tc>
          <w:tcPr>
            <w:tcW w:w="297"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Source</w:t>
            </w:r>
          </w:p>
        </w:tc>
        <w:tc>
          <w:tcPr>
            <w:tcW w:w="462"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Personal name records</w:t>
            </w:r>
          </w:p>
        </w:tc>
        <w:tc>
          <w:tcPr>
            <w:tcW w:w="429"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Corporate and/or conference name records</w:t>
            </w:r>
          </w:p>
        </w:tc>
        <w:tc>
          <w:tcPr>
            <w:tcW w:w="330"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Geographic name records</w:t>
            </w:r>
          </w:p>
        </w:tc>
        <w:tc>
          <w:tcPr>
            <w:tcW w:w="449"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Uniform title records</w:t>
            </w:r>
          </w:p>
        </w:tc>
        <w:tc>
          <w:tcPr>
            <w:tcW w:w="461"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Total number of authority records</w:t>
            </w:r>
          </w:p>
        </w:tc>
        <w:tc>
          <w:tcPr>
            <w:tcW w:w="330"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 of records associated with bib data</w:t>
            </w:r>
          </w:p>
        </w:tc>
        <w:tc>
          <w:tcPr>
            <w:tcW w:w="330"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 of Records matching at least one other source</w:t>
            </w:r>
          </w:p>
        </w:tc>
        <w:tc>
          <w:tcPr>
            <w:tcW w:w="482" w:type="pct"/>
            <w:tcBorders>
              <w:top w:val="nil"/>
              <w:left w:val="nil"/>
              <w:bottom w:val="single" w:sz="12" w:space="0" w:color="FFFFFF"/>
              <w:right w:val="single" w:sz="4" w:space="0" w:color="FFFFFF"/>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Total number of matches</w:t>
            </w:r>
          </w:p>
        </w:tc>
        <w:tc>
          <w:tcPr>
            <w:tcW w:w="467" w:type="pct"/>
            <w:tcBorders>
              <w:top w:val="nil"/>
              <w:left w:val="nil"/>
              <w:bottom w:val="single" w:sz="12" w:space="0" w:color="FFFFFF"/>
              <w:right w:val="nil"/>
            </w:tcBorders>
            <w:shd w:val="clear" w:color="4F81BD" w:fill="4F81BD"/>
            <w:vAlign w:val="bottom"/>
            <w:hideMark/>
          </w:tcPr>
          <w:p w:rsidR="003F0AC4" w:rsidRPr="003F0AC4" w:rsidRDefault="003F0AC4" w:rsidP="003F0AC4">
            <w:pPr>
              <w:spacing w:after="0" w:line="240" w:lineRule="auto"/>
              <w:jc w:val="center"/>
              <w:rPr>
                <w:rFonts w:ascii="Calibri" w:eastAsia="Times New Roman" w:hAnsi="Calibri" w:cs="Times New Roman"/>
                <w:b/>
                <w:bCs/>
                <w:color w:val="FFFFFF"/>
                <w:sz w:val="16"/>
              </w:rPr>
            </w:pPr>
            <w:r w:rsidRPr="003F0AC4">
              <w:rPr>
                <w:rFonts w:ascii="Calibri" w:eastAsia="Times New Roman" w:hAnsi="Calibri" w:cs="Times New Roman"/>
                <w:b/>
                <w:bCs/>
                <w:color w:val="FFFFFF"/>
                <w:sz w:val="16"/>
              </w:rPr>
              <w:t>Number of bibliographic records for the source</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 xml:space="preserve">ABES (Agence Bibliographique de l'Enseignement Supérieur) </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SUDOC</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2,022,275</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227,918</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21,594</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2,271,804</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36%</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2,750,526</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10,902,918</w:t>
            </w:r>
          </w:p>
        </w:tc>
      </w:tr>
      <w:tr w:rsidR="004B2C2C" w:rsidRPr="003F0AC4" w:rsidTr="00EE1120">
        <w:trPr>
          <w:trHeight w:val="300"/>
        </w:trPr>
        <w:tc>
          <w:tcPr>
            <w:tcW w:w="963" w:type="pct"/>
            <w:tcBorders>
              <w:top w:val="nil"/>
              <w:left w:val="nil"/>
              <w:bottom w:val="nil"/>
              <w:right w:val="nil"/>
            </w:tcBorders>
            <w:shd w:val="clear" w:color="000000"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Biblioteca de Catalonia</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BNC</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22,010</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22,010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51%</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46%</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27,388</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72,620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Biblioteca Nacional de España</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BNE</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371,661</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62,179</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591</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101,333</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535,765</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76%</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53%</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966,644</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2,439,168</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Biblioteca Nacional de Portugal</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PTBNP</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253,900</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67,164</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321,064</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97%</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31%</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404,878</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850,398</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Bibliotheca Alexandrina (Egypt)</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EGAXA</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34,494</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350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11</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34,863</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98%</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61%</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69,418</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148,230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Bibliothèque nationale de France</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BNF</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1,416,998</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317,668</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6,525</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154,784</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1,895,975</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86%</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68%</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4,311,472</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12,721,075</w:t>
            </w:r>
          </w:p>
        </w:tc>
      </w:tr>
      <w:tr w:rsidR="004B2C2C" w:rsidRPr="003F0AC4" w:rsidTr="00EE1120">
        <w:trPr>
          <w:trHeight w:val="300"/>
        </w:trPr>
        <w:tc>
          <w:tcPr>
            <w:tcW w:w="963" w:type="pct"/>
            <w:tcBorders>
              <w:top w:val="nil"/>
              <w:left w:val="single" w:sz="4" w:space="0" w:color="FFFFFF"/>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 xml:space="preserve">BIBSYS (Norway) </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BIBSYS</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54,270</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5,280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87</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59,637</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25%</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43,033</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5,817,367</w:t>
            </w:r>
          </w:p>
        </w:tc>
      </w:tr>
      <w:tr w:rsidR="004B2C2C" w:rsidRPr="003F0AC4" w:rsidTr="00EE1120">
        <w:trPr>
          <w:trHeight w:val="300"/>
        </w:trPr>
        <w:tc>
          <w:tcPr>
            <w:tcW w:w="963" w:type="pct"/>
            <w:tcBorders>
              <w:top w:val="single" w:sz="4" w:space="0" w:color="FFFFFF"/>
              <w:left w:val="single" w:sz="4" w:space="0" w:color="FFFFFF"/>
              <w:bottom w:val="single" w:sz="4" w:space="0" w:color="FFFFFF"/>
              <w:right w:val="single" w:sz="4" w:space="0" w:color="FFFFFF"/>
            </w:tcBorders>
            <w:shd w:val="clear" w:color="DBE5F1"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Deutsche Nationalbibliothek</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DNB</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7,463,182</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1,697,890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262,747</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190,448</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9,614,660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43%</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28%</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7,214,965</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20,350,290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Flemish Public Libraries</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VLACC</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4,539</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729</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5,268</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93%</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82%</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23,243</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998,628</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Getty Union List of Artist Names</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JPG</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182,182</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33,107</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215,289</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31%</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219,916</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Istituto Centrale per il Catalogo Unico (Italy)</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ICCU</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45,189</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45,208</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23,788</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41,638</w:t>
            </w:r>
          </w:p>
        </w:tc>
      </w:tr>
      <w:tr w:rsidR="004B2C2C" w:rsidRPr="003F0AC4" w:rsidTr="00EE1120">
        <w:trPr>
          <w:trHeight w:val="300"/>
        </w:trPr>
        <w:tc>
          <w:tcPr>
            <w:tcW w:w="963" w:type="pct"/>
            <w:tcBorders>
              <w:top w:val="nil"/>
              <w:left w:val="nil"/>
              <w:bottom w:val="nil"/>
              <w:right w:val="nil"/>
            </w:tcBorders>
            <w:shd w:val="clear" w:color="000000"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Koninklijke Bibliotheek (the Netherlands)</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NTA</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2,445,198</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2,445,198</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96%</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4,504,486</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17,121,576</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Library and Archives Canada</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LAC</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428,345</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187,443</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11,301</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54,633</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681,722</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66%</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50%</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841,119</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1,531,635</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Library of Congress/NACO</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LC</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5,820,102</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1,603,886</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132,001</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1,115,352</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8,671,341</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51%</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44%</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9,082,658</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13,802,291</w:t>
            </w:r>
          </w:p>
        </w:tc>
      </w:tr>
      <w:tr w:rsidR="004B2C2C" w:rsidRPr="003F0AC4" w:rsidTr="00EE1120">
        <w:trPr>
          <w:trHeight w:val="300"/>
        </w:trPr>
        <w:tc>
          <w:tcPr>
            <w:tcW w:w="963" w:type="pct"/>
            <w:tcBorders>
              <w:top w:val="nil"/>
              <w:left w:val="nil"/>
              <w:bottom w:val="nil"/>
              <w:right w:val="nil"/>
            </w:tcBorders>
            <w:shd w:val="clear" w:color="000000"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 xml:space="preserve">National Diet Library </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NDL</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797,932</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186,262</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7,424</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2,998</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994,616</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94%</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25%</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702,402</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4,534,179</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Board (Singapore)</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NLB</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198</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204</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221</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of Australia</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NLA</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706,515</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208,241</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778</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88,619</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1,004,153</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49%</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1,476,789</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4B2C2C" w:rsidRPr="003F0AC4" w:rsidTr="00EE1120">
        <w:trPr>
          <w:trHeight w:val="300"/>
        </w:trPr>
        <w:tc>
          <w:tcPr>
            <w:tcW w:w="963" w:type="pct"/>
            <w:tcBorders>
              <w:top w:val="nil"/>
              <w:left w:val="nil"/>
              <w:bottom w:val="nil"/>
              <w:right w:val="nil"/>
            </w:tcBorders>
            <w:shd w:val="clear" w:color="000000"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of Denmark (test)</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DBC</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2,326</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2,326</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98%</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2,801</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3,854</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lastRenderedPageBreak/>
              <w:t xml:space="preserve">National Library of Israel </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NLI</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459,798</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58,939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1,394</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520,131</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60%</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1,348,237</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1,209,253</w:t>
            </w:r>
          </w:p>
        </w:tc>
      </w:tr>
      <w:tr w:rsidR="004B2C2C" w:rsidRPr="003F0AC4" w:rsidTr="00EE1120">
        <w:trPr>
          <w:trHeight w:val="300"/>
        </w:trPr>
        <w:tc>
          <w:tcPr>
            <w:tcW w:w="963" w:type="pct"/>
            <w:tcBorders>
              <w:top w:val="nil"/>
              <w:left w:val="nil"/>
              <w:bottom w:val="nil"/>
              <w:right w:val="nil"/>
            </w:tcBorders>
            <w:shd w:val="clear" w:color="000000"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of Poland</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NLP</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576,504</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76,169</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38</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44,277</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696,991</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67%</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1,456,264</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1,704,093</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of Sweden</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SELIBR</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149,434</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17,254</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157</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6,132</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172,977</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53%</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494,776</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2,073,852</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Library of the Czech Republic</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NKC</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541,155</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125,876</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667,031</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1,463,446</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2,255,742</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National Széchényi Library (Hungary)</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NSZL</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31,734</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1,913</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78</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33,727</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53%</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59,746</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1,750,927</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NUKAT Center (Poland)</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NUKAT</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1,098,541</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114,257</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67</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1,212,865</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97%</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80%</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3,285,683</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4,882,852</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RERO (Switzerland)</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RERO</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77,283</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41,336</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247</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118,869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79%</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433,529</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1,093,307</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Russian State Library</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RSL</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997</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997</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1,223</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Swiss National Library</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SWNL</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32,838</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5,237</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177</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38,253</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63%</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85,552</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379,104</w:t>
            </w:r>
          </w:p>
        </w:tc>
      </w:tr>
      <w:tr w:rsidR="004B2C2C" w:rsidRPr="003F0AC4" w:rsidTr="00EE1120">
        <w:trPr>
          <w:trHeight w:val="315"/>
        </w:trPr>
        <w:tc>
          <w:tcPr>
            <w:tcW w:w="963" w:type="pct"/>
            <w:tcBorders>
              <w:top w:val="single" w:sz="4" w:space="0" w:color="FFFFFF"/>
              <w:left w:val="nil"/>
              <w:bottom w:val="single" w:sz="4" w:space="0" w:color="FFFFFF"/>
              <w:right w:val="single" w:sz="4" w:space="0" w:color="FFFFFF"/>
            </w:tcBorders>
            <w:shd w:val="clear" w:color="B8CCE4" w:fill="B8CCE4"/>
            <w:noWrap/>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Vatican Library</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BAV</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266,530</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34,532</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2,942</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5,408</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309,412</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94%</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63%</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835,440</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626,862</w:t>
            </w:r>
          </w:p>
        </w:tc>
      </w:tr>
      <w:tr w:rsidR="004B2C2C" w:rsidRPr="003F0AC4" w:rsidTr="00EE1120">
        <w:trPr>
          <w:trHeight w:val="300"/>
        </w:trPr>
        <w:tc>
          <w:tcPr>
            <w:tcW w:w="963" w:type="pct"/>
            <w:tcBorders>
              <w:top w:val="nil"/>
              <w:left w:val="nil"/>
              <w:bottom w:val="single" w:sz="4" w:space="0" w:color="FFFFFF"/>
              <w:right w:val="single" w:sz="4" w:space="0" w:color="FFFFFF"/>
            </w:tcBorders>
            <w:shd w:val="clear" w:color="DBE5F1" w:fill="DBE5F1"/>
            <w:noWrap/>
            <w:hideMark/>
          </w:tcPr>
          <w:p w:rsidR="004B2C2C" w:rsidRPr="00EE1120" w:rsidRDefault="004B2C2C" w:rsidP="003F0AC4">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z-</w:t>
            </w:r>
            <w:r w:rsidRPr="00EE1120">
              <w:rPr>
                <w:rFonts w:ascii="Calibri" w:eastAsia="Times New Roman" w:hAnsi="Calibri" w:cs="Times New Roman"/>
                <w:color w:val="000000"/>
                <w:sz w:val="20"/>
              </w:rPr>
              <w:t>eXtensible authorities</w:t>
            </w:r>
          </w:p>
        </w:tc>
        <w:tc>
          <w:tcPr>
            <w:tcW w:w="297" w:type="pct"/>
            <w:tcBorders>
              <w:top w:val="nil"/>
              <w:left w:val="nil"/>
              <w:bottom w:val="single" w:sz="4" w:space="0" w:color="FFFFFF"/>
              <w:right w:val="single" w:sz="4" w:space="0" w:color="FFFFFF"/>
            </w:tcBorders>
            <w:shd w:val="clear" w:color="DBE5F1" w:fill="DBE5F1"/>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XA</w:t>
            </w:r>
          </w:p>
        </w:tc>
        <w:tc>
          <w:tcPr>
            <w:tcW w:w="46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204</w:t>
            </w:r>
          </w:p>
        </w:tc>
        <w:tc>
          <w:tcPr>
            <w:tcW w:w="42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5</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209</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100%</w:t>
            </w:r>
          </w:p>
        </w:tc>
        <w:tc>
          <w:tcPr>
            <w:tcW w:w="482" w:type="pct"/>
            <w:tcBorders>
              <w:top w:val="nil"/>
              <w:left w:val="nil"/>
              <w:bottom w:val="single" w:sz="4" w:space="0" w:color="FFFFFF"/>
              <w:right w:val="single" w:sz="4" w:space="0" w:color="FFFFFF"/>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1,230</w:t>
            </w:r>
          </w:p>
        </w:tc>
        <w:tc>
          <w:tcPr>
            <w:tcW w:w="467" w:type="pct"/>
            <w:tcBorders>
              <w:top w:val="nil"/>
              <w:left w:val="nil"/>
              <w:bottom w:val="single" w:sz="4" w:space="0" w:color="FFFFFF"/>
              <w:right w:val="nil"/>
            </w:tcBorders>
            <w:shd w:val="clear" w:color="DBE5F1" w:fill="DBE5F1"/>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4B2C2C" w:rsidRPr="003F0AC4" w:rsidTr="00EE1120">
        <w:trPr>
          <w:trHeight w:val="300"/>
        </w:trPr>
        <w:tc>
          <w:tcPr>
            <w:tcW w:w="963" w:type="pct"/>
            <w:tcBorders>
              <w:top w:val="nil"/>
              <w:left w:val="nil"/>
              <w:bottom w:val="nil"/>
              <w:right w:val="nil"/>
            </w:tcBorders>
            <w:shd w:val="clear" w:color="000000"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Pr>
                <w:rFonts w:ascii="Calibri" w:eastAsia="Times New Roman" w:hAnsi="Calibri" w:cs="Times New Roman"/>
                <w:color w:val="000000"/>
                <w:sz w:val="20"/>
              </w:rPr>
              <w:t>z-</w:t>
            </w:r>
            <w:r w:rsidRPr="00EE1120">
              <w:rPr>
                <w:rFonts w:ascii="Calibri" w:eastAsia="Times New Roman" w:hAnsi="Calibri" w:cs="Times New Roman"/>
                <w:color w:val="000000"/>
                <w:sz w:val="20"/>
              </w:rPr>
              <w:t>Wikipedia</w:t>
            </w:r>
          </w:p>
        </w:tc>
        <w:tc>
          <w:tcPr>
            <w:tcW w:w="297" w:type="pct"/>
            <w:tcBorders>
              <w:top w:val="nil"/>
              <w:left w:val="nil"/>
              <w:bottom w:val="single" w:sz="4" w:space="0" w:color="FFFFFF"/>
              <w:right w:val="single" w:sz="4" w:space="0" w:color="FFFFFF"/>
            </w:tcBorders>
            <w:shd w:val="clear" w:color="B8CCE4" w:fill="B8CCE4"/>
            <w:noWrap/>
            <w:vAlign w:val="bottom"/>
            <w:hideMark/>
          </w:tcPr>
          <w:p w:rsidR="004B2C2C" w:rsidRPr="00EE1120" w:rsidRDefault="004B2C2C" w:rsidP="003F0AC4">
            <w:pPr>
              <w:spacing w:after="0" w:line="240" w:lineRule="auto"/>
              <w:rPr>
                <w:rFonts w:ascii="Calibri" w:eastAsia="Times New Roman" w:hAnsi="Calibri" w:cs="Times New Roman"/>
                <w:color w:val="000000"/>
                <w:sz w:val="20"/>
              </w:rPr>
            </w:pPr>
            <w:r w:rsidRPr="00EE1120">
              <w:rPr>
                <w:rFonts w:ascii="Calibri" w:eastAsia="Times New Roman" w:hAnsi="Calibri" w:cs="Times New Roman"/>
                <w:color w:val="000000"/>
                <w:sz w:val="20"/>
              </w:rPr>
              <w:t>WKP</w:t>
            </w:r>
          </w:p>
        </w:tc>
        <w:tc>
          <w:tcPr>
            <w:tcW w:w="46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1,075,291</w:t>
            </w:r>
          </w:p>
        </w:tc>
        <w:tc>
          <w:tcPr>
            <w:tcW w:w="42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49"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461"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1,075,291</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c>
          <w:tcPr>
            <w:tcW w:w="330"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31%</w:t>
            </w:r>
          </w:p>
        </w:tc>
        <w:tc>
          <w:tcPr>
            <w:tcW w:w="482" w:type="pct"/>
            <w:tcBorders>
              <w:top w:val="nil"/>
              <w:left w:val="nil"/>
              <w:bottom w:val="single" w:sz="4" w:space="0" w:color="FFFFFF"/>
              <w:right w:val="single" w:sz="4" w:space="0" w:color="FFFFFF"/>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1,396,207</w:t>
            </w:r>
          </w:p>
        </w:tc>
        <w:tc>
          <w:tcPr>
            <w:tcW w:w="467" w:type="pct"/>
            <w:tcBorders>
              <w:top w:val="nil"/>
              <w:left w:val="nil"/>
              <w:bottom w:val="single" w:sz="4" w:space="0" w:color="FFFFFF"/>
              <w:right w:val="nil"/>
            </w:tcBorders>
            <w:shd w:val="clear" w:color="B8CCE4" w:fill="B8CCE4"/>
            <w:noWrap/>
            <w:vAlign w:val="bottom"/>
            <w:hideMark/>
          </w:tcPr>
          <w:p w:rsidR="004B2C2C" w:rsidRPr="003F0AC4" w:rsidRDefault="004B2C2C" w:rsidP="003F0AC4">
            <w:pPr>
              <w:spacing w:after="0" w:line="240" w:lineRule="auto"/>
              <w:jc w:val="right"/>
              <w:rPr>
                <w:rFonts w:ascii="Calibri" w:eastAsia="Times New Roman" w:hAnsi="Calibri" w:cs="Times New Roman"/>
                <w:color w:val="000000"/>
                <w:sz w:val="20"/>
              </w:rPr>
            </w:pPr>
            <w:r w:rsidRPr="003F0AC4">
              <w:rPr>
                <w:rFonts w:ascii="Calibri" w:eastAsia="Times New Roman" w:hAnsi="Calibri" w:cs="Times New Roman"/>
                <w:color w:val="000000"/>
                <w:sz w:val="20"/>
              </w:rPr>
              <w:t>0</w:t>
            </w:r>
          </w:p>
        </w:tc>
      </w:tr>
      <w:tr w:rsidR="00EE1120" w:rsidRPr="003F0AC4" w:rsidTr="00EE1120">
        <w:trPr>
          <w:trHeight w:val="300"/>
        </w:trPr>
        <w:tc>
          <w:tcPr>
            <w:tcW w:w="963" w:type="pct"/>
            <w:tcBorders>
              <w:top w:val="nil"/>
              <w:left w:val="nil"/>
              <w:bottom w:val="nil"/>
              <w:right w:val="nil"/>
            </w:tcBorders>
            <w:shd w:val="clear" w:color="auto" w:fill="auto"/>
            <w:noWrap/>
            <w:vAlign w:val="bottom"/>
            <w:hideMark/>
          </w:tcPr>
          <w:p w:rsidR="003F0AC4" w:rsidRPr="003F0AC4" w:rsidRDefault="003F0AC4" w:rsidP="003F0AC4">
            <w:pPr>
              <w:spacing w:after="0" w:line="240" w:lineRule="auto"/>
              <w:rPr>
                <w:rFonts w:ascii="Calibri" w:eastAsia="Times New Roman" w:hAnsi="Calibri" w:cs="Times New Roman"/>
                <w:color w:val="000000"/>
              </w:rPr>
            </w:pPr>
          </w:p>
        </w:tc>
        <w:tc>
          <w:tcPr>
            <w:tcW w:w="297"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rPr>
                <w:rFonts w:ascii="Calibri" w:eastAsia="Times New Roman" w:hAnsi="Calibri" w:cs="Times New Roman"/>
                <w:b/>
                <w:color w:val="000000"/>
              </w:rPr>
            </w:pPr>
          </w:p>
        </w:tc>
        <w:tc>
          <w:tcPr>
            <w:tcW w:w="462"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26,381,431</w:t>
            </w:r>
          </w:p>
        </w:tc>
        <w:tc>
          <w:tcPr>
            <w:tcW w:w="429"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5,073,656</w:t>
            </w:r>
          </w:p>
        </w:tc>
        <w:tc>
          <w:tcPr>
            <w:tcW w:w="330"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425,203</w:t>
            </w:r>
          </w:p>
        </w:tc>
        <w:tc>
          <w:tcPr>
            <w:tcW w:w="449"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1,787,151</w:t>
            </w:r>
          </w:p>
        </w:tc>
        <w:tc>
          <w:tcPr>
            <w:tcW w:w="461"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33,667,856</w:t>
            </w:r>
          </w:p>
        </w:tc>
        <w:tc>
          <w:tcPr>
            <w:tcW w:w="330"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rPr>
                <w:rFonts w:ascii="Calibri" w:eastAsia="Times New Roman" w:hAnsi="Calibri" w:cs="Times New Roman"/>
                <w:b/>
                <w:color w:val="000000"/>
                <w:sz w:val="20"/>
              </w:rPr>
            </w:pPr>
          </w:p>
        </w:tc>
        <w:tc>
          <w:tcPr>
            <w:tcW w:w="330"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rPr>
                <w:rFonts w:ascii="Calibri" w:eastAsia="Times New Roman" w:hAnsi="Calibri" w:cs="Times New Roman"/>
                <w:b/>
                <w:color w:val="000000"/>
                <w:sz w:val="20"/>
              </w:rPr>
            </w:pPr>
          </w:p>
        </w:tc>
        <w:tc>
          <w:tcPr>
            <w:tcW w:w="482" w:type="pct"/>
            <w:tcBorders>
              <w:top w:val="nil"/>
              <w:left w:val="nil"/>
              <w:bottom w:val="nil"/>
              <w:right w:val="single" w:sz="4" w:space="0" w:color="FFFFFF"/>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43,527,080</w:t>
            </w:r>
          </w:p>
        </w:tc>
        <w:tc>
          <w:tcPr>
            <w:tcW w:w="467" w:type="pct"/>
            <w:tcBorders>
              <w:top w:val="nil"/>
              <w:left w:val="nil"/>
              <w:bottom w:val="nil"/>
              <w:right w:val="nil"/>
            </w:tcBorders>
            <w:shd w:val="clear" w:color="B8CCE4" w:fill="B8CCE4"/>
            <w:noWrap/>
            <w:vAlign w:val="bottom"/>
            <w:hideMark/>
          </w:tcPr>
          <w:p w:rsidR="003F0AC4" w:rsidRPr="00EE1120" w:rsidRDefault="003F0AC4" w:rsidP="003F0AC4">
            <w:pPr>
              <w:spacing w:after="0" w:line="240" w:lineRule="auto"/>
              <w:jc w:val="right"/>
              <w:rPr>
                <w:rFonts w:ascii="Calibri" w:eastAsia="Times New Roman" w:hAnsi="Calibri" w:cs="Times New Roman"/>
                <w:b/>
                <w:color w:val="000000"/>
                <w:sz w:val="20"/>
              </w:rPr>
            </w:pPr>
            <w:r w:rsidRPr="00EE1120">
              <w:rPr>
                <w:rFonts w:ascii="Calibri" w:eastAsia="Times New Roman" w:hAnsi="Calibri" w:cs="Times New Roman"/>
                <w:b/>
                <w:color w:val="000000"/>
                <w:sz w:val="20"/>
              </w:rPr>
              <w:t>107,311,859</w:t>
            </w:r>
          </w:p>
        </w:tc>
      </w:tr>
    </w:tbl>
    <w:p w:rsidR="003F0AC4" w:rsidRDefault="003F0AC4" w:rsidP="00B17582">
      <w:pPr>
        <w:spacing w:after="0"/>
        <w:rPr>
          <w:rFonts w:ascii="Calibri" w:hAnsi="Calibri"/>
        </w:rPr>
        <w:sectPr w:rsidR="003F0AC4" w:rsidSect="003F0AC4">
          <w:pgSz w:w="15840" w:h="12240" w:orient="landscape"/>
          <w:pgMar w:top="1440" w:right="1440" w:bottom="1440" w:left="1440" w:header="720" w:footer="720" w:gutter="0"/>
          <w:cols w:space="720"/>
          <w:docGrid w:linePitch="360"/>
        </w:sectPr>
      </w:pPr>
    </w:p>
    <w:p w:rsidR="00B17582" w:rsidRDefault="00B17582" w:rsidP="00B17582">
      <w:pPr>
        <w:spacing w:after="0"/>
        <w:rPr>
          <w:rFonts w:ascii="Calibri" w:hAnsi="Calibri"/>
        </w:rPr>
      </w:pPr>
      <w:r w:rsidRPr="0077521D">
        <w:rPr>
          <w:rFonts w:ascii="Calibri" w:hAnsi="Calibri"/>
        </w:rPr>
        <w:lastRenderedPageBreak/>
        <w:t>VIAF processes the source data to yield 24.2 million clusters with 21 million links between records.</w:t>
      </w:r>
    </w:p>
    <w:p w:rsidR="001507EF" w:rsidRDefault="001507EF" w:rsidP="00B17582">
      <w:pPr>
        <w:spacing w:after="0"/>
        <w:rPr>
          <w:rFonts w:ascii="Calibri" w:hAnsi="Calibri"/>
        </w:rPr>
      </w:pPr>
    </w:p>
    <w:p w:rsidR="001507EF" w:rsidRPr="0077521D" w:rsidRDefault="001507EF" w:rsidP="001507EF">
      <w:pPr>
        <w:spacing w:after="0"/>
        <w:rPr>
          <w:rFonts w:ascii="Calibri" w:hAnsi="Calibri"/>
          <w:b/>
          <w:bCs/>
        </w:rPr>
      </w:pPr>
      <w:r w:rsidRPr="0077521D">
        <w:rPr>
          <w:rFonts w:ascii="Calibri" w:hAnsi="Calibri"/>
          <w:b/>
          <w:bCs/>
        </w:rPr>
        <w:t>Clusters by type:</w:t>
      </w:r>
    </w:p>
    <w:p w:rsidR="001507EF" w:rsidRPr="0077521D" w:rsidRDefault="001507EF" w:rsidP="001507EF">
      <w:pPr>
        <w:spacing w:after="0"/>
        <w:rPr>
          <w:rFonts w:ascii="Calibri" w:hAnsi="Calibri"/>
        </w:rPr>
      </w:pPr>
      <w:r w:rsidRPr="0077521D">
        <w:rPr>
          <w:rFonts w:ascii="Calibri" w:hAnsi="Calibri"/>
        </w:rPr>
        <w:t>Corporate           3,770,650</w:t>
      </w:r>
    </w:p>
    <w:p w:rsidR="001507EF" w:rsidRPr="0077521D" w:rsidRDefault="001507EF" w:rsidP="001507EF">
      <w:pPr>
        <w:spacing w:after="0"/>
        <w:rPr>
          <w:rFonts w:ascii="Calibri" w:hAnsi="Calibri"/>
        </w:rPr>
      </w:pPr>
      <w:r w:rsidRPr="0077521D">
        <w:rPr>
          <w:rFonts w:ascii="Calibri" w:hAnsi="Calibri"/>
        </w:rPr>
        <w:t>Geographic           406,799</w:t>
      </w:r>
    </w:p>
    <w:p w:rsidR="001507EF" w:rsidRPr="0077521D" w:rsidRDefault="001507EF" w:rsidP="001507EF">
      <w:pPr>
        <w:spacing w:after="0"/>
        <w:rPr>
          <w:rFonts w:ascii="Calibri" w:hAnsi="Calibri"/>
        </w:rPr>
      </w:pPr>
      <w:r w:rsidRPr="0077521D">
        <w:rPr>
          <w:rFonts w:ascii="Calibri" w:hAnsi="Calibri"/>
        </w:rPr>
        <w:t>Personal              18,067,989</w:t>
      </w:r>
    </w:p>
    <w:p w:rsidR="001507EF" w:rsidRPr="0077521D" w:rsidRDefault="001507EF" w:rsidP="001507EF">
      <w:pPr>
        <w:spacing w:after="0"/>
        <w:rPr>
          <w:rFonts w:ascii="Calibri" w:hAnsi="Calibri"/>
        </w:rPr>
      </w:pPr>
      <w:r w:rsidRPr="0077521D">
        <w:rPr>
          <w:rFonts w:ascii="Calibri" w:hAnsi="Calibri"/>
        </w:rPr>
        <w:t>Expression              287,211</w:t>
      </w:r>
    </w:p>
    <w:p w:rsidR="001507EF" w:rsidRPr="0077521D" w:rsidRDefault="001507EF" w:rsidP="001507EF">
      <w:pPr>
        <w:spacing w:after="0"/>
        <w:rPr>
          <w:rFonts w:ascii="Calibri" w:hAnsi="Calibri"/>
        </w:rPr>
      </w:pPr>
      <w:r w:rsidRPr="0077521D">
        <w:rPr>
          <w:rFonts w:ascii="Calibri" w:hAnsi="Calibri"/>
        </w:rPr>
        <w:t>Work                    1,685,745</w:t>
      </w:r>
    </w:p>
    <w:p w:rsidR="001507EF" w:rsidRPr="0077521D" w:rsidRDefault="001507EF" w:rsidP="00B17582">
      <w:pPr>
        <w:spacing w:after="0"/>
        <w:rPr>
          <w:rFonts w:ascii="Calibri" w:hAnsi="Calibri"/>
        </w:rPr>
      </w:pPr>
    </w:p>
    <w:p w:rsidR="00064166" w:rsidRDefault="005F6905" w:rsidP="00B17582">
      <w:pPr>
        <w:spacing w:after="0"/>
        <w:rPr>
          <w:rFonts w:ascii="Calibri" w:hAnsi="Calibri"/>
        </w:rPr>
      </w:pPr>
      <w:r w:rsidRPr="005F6905">
        <w:rPr>
          <w:rFonts w:ascii="Calibri" w:hAnsi="Calibri"/>
          <w:noProof/>
        </w:rPr>
        <w:drawing>
          <wp:inline distT="0" distB="0" distL="0" distR="0">
            <wp:extent cx="4572000" cy="27432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4166" w:rsidRPr="0077521D" w:rsidRDefault="00064166" w:rsidP="00064166">
      <w:pPr>
        <w:pStyle w:val="Caption"/>
        <w:rPr>
          <w:rFonts w:ascii="Calibri" w:hAnsi="Calibri"/>
        </w:rPr>
      </w:pPr>
      <w:r>
        <w:t xml:space="preserve">Figure </w:t>
      </w:r>
      <w:fldSimple w:instr=" SEQ Figure \* ARABIC ">
        <w:r w:rsidR="00B62AAC">
          <w:rPr>
            <w:noProof/>
          </w:rPr>
          <w:t>3</w:t>
        </w:r>
      </w:fldSimple>
      <w:r>
        <w:t>: VIAF Clusters by Type (July 2013)</w:t>
      </w:r>
      <w:r w:rsidR="00B62AAC">
        <w:t xml:space="preserve"> (Source: OCLC)</w:t>
      </w:r>
    </w:p>
    <w:p w:rsidR="00ED634E" w:rsidRDefault="00ED634E" w:rsidP="00164C18"/>
    <w:p w:rsidR="00DF028B" w:rsidRDefault="00DF028B">
      <w:pPr>
        <w:rPr>
          <w:rFonts w:ascii="Calibri" w:eastAsiaTheme="majorEastAsia" w:hAnsi="Calibri" w:cstheme="majorBidi"/>
          <w:b/>
          <w:bCs/>
          <w:sz w:val="24"/>
          <w:szCs w:val="26"/>
        </w:rPr>
        <w:sectPr w:rsidR="00DF028B" w:rsidSect="00DF028B">
          <w:pgSz w:w="12240" w:h="15840"/>
          <w:pgMar w:top="1440" w:right="1440" w:bottom="1440" w:left="1440" w:header="720" w:footer="720" w:gutter="0"/>
          <w:cols w:space="720"/>
          <w:docGrid w:linePitch="360"/>
        </w:sectPr>
      </w:pPr>
    </w:p>
    <w:p w:rsidR="00DF028B" w:rsidRDefault="004B2C2C" w:rsidP="004B2C2C">
      <w:pPr>
        <w:pStyle w:val="Heading2"/>
        <w:rPr>
          <w:noProof/>
        </w:rPr>
      </w:pPr>
      <w:r>
        <w:rPr>
          <w:noProof/>
        </w:rPr>
        <w:lastRenderedPageBreak/>
        <w:t>VIAF Utilization</w:t>
      </w:r>
    </w:p>
    <w:p w:rsidR="004B2C2C" w:rsidRDefault="004B2C2C" w:rsidP="00DF028B">
      <w:pPr>
        <w:keepNext/>
        <w:rPr>
          <w:rFonts w:ascii="Calibri" w:eastAsiaTheme="majorEastAsia" w:hAnsi="Calibri" w:cstheme="majorBidi"/>
          <w:b/>
          <w:bCs/>
          <w:noProof/>
          <w:sz w:val="24"/>
          <w:szCs w:val="26"/>
        </w:rPr>
      </w:pPr>
    </w:p>
    <w:p w:rsidR="004B2C2C" w:rsidRDefault="004B2C2C" w:rsidP="00DF028B">
      <w:pPr>
        <w:keepNext/>
      </w:pPr>
      <w:r w:rsidRPr="004B2C2C">
        <w:rPr>
          <w:rFonts w:ascii="Calibri" w:eastAsiaTheme="majorEastAsia" w:hAnsi="Calibri" w:cstheme="majorBidi"/>
          <w:b/>
          <w:bCs/>
          <w:noProof/>
          <w:sz w:val="24"/>
          <w:szCs w:val="26"/>
        </w:rPr>
        <w:drawing>
          <wp:inline distT="0" distB="0" distL="0" distR="0">
            <wp:extent cx="9144000" cy="4799337"/>
            <wp:effectExtent l="19050" t="19050" r="19050" b="20313"/>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4468" t="15185" r="1736" b="14444"/>
                    <a:stretch>
                      <a:fillRect/>
                    </a:stretch>
                  </pic:blipFill>
                  <pic:spPr bwMode="auto">
                    <a:xfrm>
                      <a:off x="0" y="0"/>
                      <a:ext cx="9144000" cy="4799337"/>
                    </a:xfrm>
                    <a:prstGeom prst="rect">
                      <a:avLst/>
                    </a:prstGeom>
                    <a:noFill/>
                    <a:ln w="9525">
                      <a:solidFill>
                        <a:schemeClr val="tx2"/>
                      </a:solidFill>
                      <a:miter lim="800000"/>
                      <a:headEnd/>
                      <a:tailEnd/>
                    </a:ln>
                  </pic:spPr>
                </pic:pic>
              </a:graphicData>
            </a:graphic>
          </wp:inline>
        </w:drawing>
      </w:r>
    </w:p>
    <w:p w:rsidR="009772F6" w:rsidRDefault="00DF028B" w:rsidP="00DF028B">
      <w:pPr>
        <w:pStyle w:val="Caption"/>
      </w:pPr>
      <w:r>
        <w:t xml:space="preserve">Figure </w:t>
      </w:r>
      <w:fldSimple w:instr=" SEQ Figure \* ARABIC ">
        <w:r w:rsidR="00B62AAC">
          <w:rPr>
            <w:noProof/>
          </w:rPr>
          <w:t>4</w:t>
        </w:r>
      </w:fldSimple>
      <w:r w:rsidR="00B62AAC">
        <w:t>:</w:t>
      </w:r>
      <w:r>
        <w:t xml:space="preserve"> </w:t>
      </w:r>
      <w:r w:rsidR="00B62AAC">
        <w:t xml:space="preserve"> </w:t>
      </w:r>
      <w:r>
        <w:t xml:space="preserve">http://viaf.org metrics </w:t>
      </w:r>
      <w:r w:rsidR="004B2C2C">
        <w:t>(</w:t>
      </w:r>
      <w:r>
        <w:t xml:space="preserve">1 Jan </w:t>
      </w:r>
      <w:r w:rsidR="004B2C2C">
        <w:t>20</w:t>
      </w:r>
      <w:r>
        <w:t>12</w:t>
      </w:r>
      <w:r w:rsidR="004B2C2C">
        <w:t xml:space="preserve"> through</w:t>
      </w:r>
      <w:r>
        <w:t xml:space="preserve"> 30 June </w:t>
      </w:r>
      <w:r w:rsidR="004B2C2C">
        <w:t>20</w:t>
      </w:r>
      <w:r>
        <w:t>13</w:t>
      </w:r>
      <w:r w:rsidR="004B2C2C">
        <w:t>)</w:t>
      </w:r>
      <w:r>
        <w:t xml:space="preserve"> (source: Google Analytics)</w:t>
      </w:r>
    </w:p>
    <w:p w:rsidR="009772F6" w:rsidRDefault="009772F6" w:rsidP="009772F6">
      <w:pPr>
        <w:keepNext/>
      </w:pPr>
      <w:r>
        <w:br w:type="page"/>
      </w:r>
    </w:p>
    <w:p w:rsidR="009772F6" w:rsidRDefault="009772F6" w:rsidP="009772F6">
      <w:pPr>
        <w:pStyle w:val="Caption"/>
        <w:keepNext/>
        <w:rPr>
          <w:rFonts w:ascii="Calibri" w:eastAsiaTheme="majorEastAsia" w:hAnsi="Calibri" w:cstheme="majorBidi"/>
          <w:noProof/>
          <w:sz w:val="24"/>
          <w:szCs w:val="26"/>
        </w:rPr>
      </w:pPr>
    </w:p>
    <w:p w:rsidR="009772F6" w:rsidRDefault="009772F6" w:rsidP="009772F6"/>
    <w:p w:rsidR="009772F6" w:rsidRDefault="009772F6" w:rsidP="009772F6"/>
    <w:p w:rsidR="009772F6" w:rsidRDefault="009772F6" w:rsidP="009772F6"/>
    <w:p w:rsidR="009772F6" w:rsidRPr="009772F6" w:rsidRDefault="009772F6" w:rsidP="009772F6">
      <w:r w:rsidRPr="009772F6">
        <w:rPr>
          <w:noProof/>
        </w:rPr>
        <w:drawing>
          <wp:inline distT="0" distB="0" distL="0" distR="0">
            <wp:extent cx="9210675" cy="3400209"/>
            <wp:effectExtent l="19050" t="19050" r="28575" b="9741"/>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4375" t="30276" r="1146" b="19833"/>
                    <a:stretch>
                      <a:fillRect/>
                    </a:stretch>
                  </pic:blipFill>
                  <pic:spPr bwMode="auto">
                    <a:xfrm>
                      <a:off x="0" y="0"/>
                      <a:ext cx="9210675" cy="3400209"/>
                    </a:xfrm>
                    <a:prstGeom prst="rect">
                      <a:avLst/>
                    </a:prstGeom>
                    <a:noFill/>
                    <a:ln w="9525">
                      <a:solidFill>
                        <a:schemeClr val="tx2">
                          <a:lumMod val="75000"/>
                        </a:schemeClr>
                      </a:solidFill>
                      <a:miter lim="800000"/>
                      <a:headEnd/>
                      <a:tailEnd/>
                    </a:ln>
                  </pic:spPr>
                </pic:pic>
              </a:graphicData>
            </a:graphic>
          </wp:inline>
        </w:drawing>
      </w:r>
    </w:p>
    <w:p w:rsidR="009772F6" w:rsidRDefault="009772F6" w:rsidP="009772F6">
      <w:pPr>
        <w:pStyle w:val="Caption"/>
        <w:rPr>
          <w:rFonts w:ascii="Calibri" w:eastAsiaTheme="majorEastAsia" w:hAnsi="Calibri" w:cstheme="majorBidi"/>
          <w:b w:val="0"/>
          <w:bCs w:val="0"/>
          <w:sz w:val="24"/>
          <w:szCs w:val="26"/>
        </w:rPr>
      </w:pPr>
      <w:r>
        <w:t xml:space="preserve">Figure </w:t>
      </w:r>
      <w:fldSimple w:instr=" SEQ Figure \* ARABIC ">
        <w:r w:rsidR="00B62AAC">
          <w:rPr>
            <w:noProof/>
          </w:rPr>
          <w:t>5</w:t>
        </w:r>
      </w:fldSimple>
      <w:r w:rsidR="00B62AAC">
        <w:t>:</w:t>
      </w:r>
      <w:r>
        <w:t xml:space="preserve"> </w:t>
      </w:r>
      <w:r w:rsidR="00B62AAC">
        <w:t xml:space="preserve"> </w:t>
      </w:r>
      <w:r>
        <w:t>All Traffic</w:t>
      </w:r>
      <w:r w:rsidRPr="00EA5A9D">
        <w:t xml:space="preserve"> to viaf.org (1 Jan. 2012 to 30 June 2013) (source: Google Analytics)</w:t>
      </w:r>
    </w:p>
    <w:p w:rsidR="009772F6" w:rsidRDefault="009772F6" w:rsidP="009772F6">
      <w:pPr>
        <w:rPr>
          <w:color w:val="4F81BD" w:themeColor="accent1"/>
        </w:rPr>
      </w:pPr>
      <w:r>
        <w:br w:type="page"/>
      </w:r>
    </w:p>
    <w:p w:rsidR="009772F6" w:rsidRDefault="009772F6" w:rsidP="009772F6">
      <w:pPr>
        <w:pStyle w:val="Caption"/>
        <w:keepNext/>
      </w:pPr>
      <w:r w:rsidRPr="009772F6">
        <w:rPr>
          <w:rFonts w:ascii="Calibri" w:eastAsiaTheme="majorEastAsia" w:hAnsi="Calibri" w:cstheme="majorBidi"/>
          <w:b w:val="0"/>
          <w:bCs w:val="0"/>
          <w:noProof/>
          <w:sz w:val="24"/>
          <w:szCs w:val="26"/>
        </w:rPr>
        <w:lastRenderedPageBreak/>
        <w:drawing>
          <wp:inline distT="0" distB="0" distL="0" distR="0">
            <wp:extent cx="9318625" cy="5334000"/>
            <wp:effectExtent l="19050" t="19050" r="15875" b="190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l="13958" t="15200" r="1458" b="7333"/>
                    <a:stretch>
                      <a:fillRect/>
                    </a:stretch>
                  </pic:blipFill>
                  <pic:spPr bwMode="auto">
                    <a:xfrm>
                      <a:off x="0" y="0"/>
                      <a:ext cx="9318625" cy="5334000"/>
                    </a:xfrm>
                    <a:prstGeom prst="rect">
                      <a:avLst/>
                    </a:prstGeom>
                    <a:noFill/>
                    <a:ln w="9525">
                      <a:solidFill>
                        <a:schemeClr val="accent1">
                          <a:lumMod val="75000"/>
                        </a:schemeClr>
                      </a:solidFill>
                      <a:miter lim="800000"/>
                      <a:headEnd/>
                      <a:tailEnd/>
                    </a:ln>
                  </pic:spPr>
                </pic:pic>
              </a:graphicData>
            </a:graphic>
          </wp:inline>
        </w:drawing>
      </w:r>
    </w:p>
    <w:p w:rsidR="00DF028B" w:rsidRDefault="009772F6" w:rsidP="009772F6">
      <w:pPr>
        <w:pStyle w:val="Caption"/>
        <w:rPr>
          <w:rFonts w:ascii="Calibri" w:eastAsiaTheme="majorEastAsia" w:hAnsi="Calibri" w:cstheme="majorBidi"/>
          <w:b w:val="0"/>
          <w:bCs w:val="0"/>
          <w:sz w:val="24"/>
          <w:szCs w:val="26"/>
        </w:rPr>
        <w:sectPr w:rsidR="00DF028B" w:rsidSect="004B2C2C">
          <w:pgSz w:w="15840" w:h="12240" w:orient="landscape"/>
          <w:pgMar w:top="720" w:right="720" w:bottom="720" w:left="720" w:header="720" w:footer="720" w:gutter="0"/>
          <w:cols w:space="720"/>
          <w:docGrid w:linePitch="360"/>
        </w:sectPr>
      </w:pPr>
      <w:r>
        <w:t xml:space="preserve">Figure </w:t>
      </w:r>
      <w:fldSimple w:instr=" SEQ Figure \* ARABIC ">
        <w:r w:rsidR="00B62AAC">
          <w:rPr>
            <w:noProof/>
          </w:rPr>
          <w:t>6</w:t>
        </w:r>
      </w:fldSimple>
      <w:r>
        <w:t xml:space="preserve">: </w:t>
      </w:r>
      <w:r w:rsidR="00B62AAC">
        <w:t xml:space="preserve"> </w:t>
      </w:r>
      <w:r w:rsidRPr="00111D76">
        <w:t>Referrals</w:t>
      </w:r>
      <w:r w:rsidR="00AB24CF">
        <w:t xml:space="preserve"> [subset of All Traffic]</w:t>
      </w:r>
      <w:r w:rsidRPr="00111D76">
        <w:t xml:space="preserve"> to viaf.org (1 Jan. 2012 to 30 June 2013) (source: Google Analytics)</w:t>
      </w:r>
    </w:p>
    <w:p w:rsidR="00DF028B" w:rsidRDefault="00DF028B">
      <w:pPr>
        <w:rPr>
          <w:rFonts w:ascii="Calibri" w:eastAsiaTheme="majorEastAsia" w:hAnsi="Calibri" w:cstheme="majorBidi"/>
          <w:b/>
          <w:bCs/>
          <w:sz w:val="24"/>
          <w:szCs w:val="26"/>
        </w:rPr>
      </w:pPr>
    </w:p>
    <w:p w:rsidR="00DF028B" w:rsidRDefault="00DF028B">
      <w:pPr>
        <w:rPr>
          <w:rFonts w:ascii="Calibri" w:eastAsiaTheme="majorEastAsia" w:hAnsi="Calibri" w:cstheme="majorBidi"/>
          <w:b/>
          <w:bCs/>
          <w:sz w:val="24"/>
          <w:szCs w:val="26"/>
        </w:rPr>
      </w:pPr>
    </w:p>
    <w:p w:rsidR="006135AC" w:rsidRDefault="006135AC" w:rsidP="006135AC">
      <w:pPr>
        <w:pStyle w:val="Heading2"/>
        <w:spacing w:after="120"/>
      </w:pPr>
      <w:r>
        <w:t>VIAF Service Changes and Enhancements</w:t>
      </w:r>
    </w:p>
    <w:p w:rsidR="006D0601" w:rsidRDefault="00A02D6E" w:rsidP="00A02D6E">
      <w:pPr>
        <w:spacing w:after="0"/>
      </w:pPr>
      <w:r>
        <w:t>OCLC Research continued to make enhancements to VIAF including:</w:t>
      </w:r>
    </w:p>
    <w:p w:rsidR="006D0601" w:rsidRDefault="006D0601" w:rsidP="006D0601">
      <w:pPr>
        <w:pStyle w:val="ListParagraph"/>
        <w:numPr>
          <w:ilvl w:val="0"/>
          <w:numId w:val="4"/>
        </w:numPr>
      </w:pPr>
      <w:r>
        <w:t>Continuing improvements to clustering</w:t>
      </w:r>
    </w:p>
    <w:p w:rsidR="006D0601" w:rsidRPr="006D0601" w:rsidRDefault="006D0601" w:rsidP="006D0601">
      <w:pPr>
        <w:pStyle w:val="ListParagraph"/>
        <w:numPr>
          <w:ilvl w:val="0"/>
          <w:numId w:val="4"/>
        </w:numPr>
      </w:pPr>
      <w:r w:rsidRPr="006D0601">
        <w:t>Better date parsing (7/2012)</w:t>
      </w:r>
    </w:p>
    <w:p w:rsidR="006D0601" w:rsidRPr="006D0601" w:rsidRDefault="006D0601" w:rsidP="006D0601">
      <w:pPr>
        <w:pStyle w:val="ListParagraph"/>
        <w:numPr>
          <w:ilvl w:val="0"/>
          <w:numId w:val="4"/>
        </w:numPr>
      </w:pPr>
      <w:r w:rsidRPr="006D0601">
        <w:t>Shifted to Hadoop environment (10/2012)</w:t>
      </w:r>
    </w:p>
    <w:p w:rsidR="006D0601" w:rsidRPr="006D0601" w:rsidRDefault="006D0601" w:rsidP="006D0601">
      <w:pPr>
        <w:pStyle w:val="ListParagraph"/>
        <w:numPr>
          <w:ilvl w:val="0"/>
          <w:numId w:val="4"/>
        </w:numPr>
      </w:pPr>
      <w:r w:rsidRPr="006D0601">
        <w:t>Wikipedia added as a full source file (10/2012)</w:t>
      </w:r>
    </w:p>
    <w:p w:rsidR="006D0601" w:rsidRPr="006D0601" w:rsidRDefault="006D0601" w:rsidP="006D0601">
      <w:pPr>
        <w:pStyle w:val="ListParagraph"/>
        <w:numPr>
          <w:ilvl w:val="0"/>
          <w:numId w:val="4"/>
        </w:numPr>
      </w:pPr>
      <w:r w:rsidRPr="006D0601">
        <w:t>Better matching of corporate names and single date names (11/2012)</w:t>
      </w:r>
    </w:p>
    <w:p w:rsidR="006D0601" w:rsidRPr="006D0601" w:rsidRDefault="006D0601" w:rsidP="006D0601">
      <w:pPr>
        <w:pStyle w:val="ListParagraph"/>
        <w:numPr>
          <w:ilvl w:val="0"/>
          <w:numId w:val="4"/>
        </w:numPr>
      </w:pPr>
      <w:r w:rsidRPr="006D0601">
        <w:t>ISNIs added to clusters (11/2012)</w:t>
      </w:r>
    </w:p>
    <w:p w:rsidR="006D0601" w:rsidRPr="006D0601" w:rsidRDefault="006D0601" w:rsidP="006D0601">
      <w:pPr>
        <w:pStyle w:val="ListParagraph"/>
        <w:numPr>
          <w:ilvl w:val="0"/>
          <w:numId w:val="4"/>
        </w:numPr>
      </w:pPr>
      <w:r w:rsidRPr="006D0601">
        <w:t>Updated auto-suggestor (12/2012)</w:t>
      </w:r>
    </w:p>
    <w:p w:rsidR="006D0601" w:rsidRPr="006D0601" w:rsidRDefault="004B2C2C" w:rsidP="006D0601">
      <w:pPr>
        <w:pStyle w:val="ListParagraph"/>
        <w:numPr>
          <w:ilvl w:val="0"/>
          <w:numId w:val="4"/>
        </w:numPr>
      </w:pPr>
      <w:r>
        <w:t>Number of w</w:t>
      </w:r>
      <w:r w:rsidR="006D0601" w:rsidRPr="006D0601">
        <w:t>ork records increased significantly</w:t>
      </w:r>
    </w:p>
    <w:p w:rsidR="006D0601" w:rsidRPr="006D0601" w:rsidRDefault="006D0601" w:rsidP="006D0601">
      <w:pPr>
        <w:pStyle w:val="ListParagraph"/>
        <w:numPr>
          <w:ilvl w:val="0"/>
          <w:numId w:val="4"/>
        </w:numPr>
      </w:pPr>
      <w:r w:rsidRPr="006D0601">
        <w:t>Dramatically faster VIAF builds implemented and swifter availability of VIAF bulk downloads</w:t>
      </w:r>
    </w:p>
    <w:p w:rsidR="006D0601" w:rsidRPr="006D0601" w:rsidRDefault="006D0601" w:rsidP="006D0601">
      <w:pPr>
        <w:pStyle w:val="ListParagraph"/>
        <w:numPr>
          <w:ilvl w:val="0"/>
          <w:numId w:val="4"/>
        </w:numPr>
      </w:pPr>
      <w:r w:rsidRPr="006D0601">
        <w:t>Made VIAF ID assignments more persistent across re-clustering activity</w:t>
      </w:r>
    </w:p>
    <w:p w:rsidR="006D0601" w:rsidRPr="006D0601" w:rsidRDefault="006D0601" w:rsidP="006D0601">
      <w:pPr>
        <w:pStyle w:val="ListParagraph"/>
        <w:numPr>
          <w:ilvl w:val="0"/>
          <w:numId w:val="4"/>
        </w:numPr>
      </w:pPr>
      <w:r w:rsidRPr="006D0601">
        <w:t xml:space="preserve">VIAF </w:t>
      </w:r>
      <w:r w:rsidR="004B2C2C">
        <w:t xml:space="preserve">infrastructure </w:t>
      </w:r>
      <w:r w:rsidRPr="006D0601">
        <w:t xml:space="preserve">shifted from OCLC Research to OCLC </w:t>
      </w:r>
      <w:r w:rsidR="004B2C2C">
        <w:t>P</w:t>
      </w:r>
      <w:r w:rsidRPr="006D0601">
        <w:t xml:space="preserve">roduction </w:t>
      </w:r>
      <w:r w:rsidR="004B2C2C">
        <w:t>C</w:t>
      </w:r>
      <w:r w:rsidRPr="006D0601">
        <w:t>ontrol (6/2013)</w:t>
      </w:r>
    </w:p>
    <w:p w:rsidR="006D0601" w:rsidRPr="006D0601" w:rsidRDefault="006D0601" w:rsidP="006D0601">
      <w:pPr>
        <w:pStyle w:val="ListParagraph"/>
        <w:numPr>
          <w:ilvl w:val="0"/>
          <w:numId w:val="4"/>
        </w:numPr>
      </w:pPr>
      <w:r w:rsidRPr="006D0601">
        <w:t>Added N-Triples to VIAF's RDF bulk distribution</w:t>
      </w:r>
    </w:p>
    <w:p w:rsidR="006D0601" w:rsidRPr="006D0601" w:rsidRDefault="006D0601" w:rsidP="006D0601">
      <w:pPr>
        <w:pStyle w:val="ListParagraph"/>
        <w:numPr>
          <w:ilvl w:val="0"/>
          <w:numId w:val="4"/>
        </w:numPr>
      </w:pPr>
      <w:r w:rsidRPr="006D0601">
        <w:t>Improved handling of undifferentiated name records</w:t>
      </w:r>
    </w:p>
    <w:p w:rsidR="00B34EA2" w:rsidRDefault="006D0601" w:rsidP="006D0601">
      <w:r w:rsidRPr="006D0601">
        <w:rPr>
          <w:color w:val="FF0000"/>
        </w:rPr>
        <w:t xml:space="preserve"> </w:t>
      </w:r>
      <w:r w:rsidR="0077521D">
        <w:t xml:space="preserve">Updates to the Japanese, French, </w:t>
      </w:r>
      <w:r w:rsidR="008456A7">
        <w:t xml:space="preserve">German, </w:t>
      </w:r>
      <w:r w:rsidR="0077521D">
        <w:t>and Spanish-language interfaces for via</w:t>
      </w:r>
      <w:r w:rsidR="00D91E8C">
        <w:t>f</w:t>
      </w:r>
      <w:r w:rsidR="0077521D">
        <w:t xml:space="preserve">.org have been made with the assistance of VIAF Contributors: the National Diet Library (Japanese), the </w:t>
      </w:r>
      <w:r w:rsidR="0077521D" w:rsidRPr="00871B9E">
        <w:t>Bibliothèque nationale de France</w:t>
      </w:r>
      <w:r w:rsidR="0077521D">
        <w:t xml:space="preserve"> (French), </w:t>
      </w:r>
      <w:r w:rsidR="008456A7" w:rsidRPr="008456A7">
        <w:t>Deutsche Nationalbibliothek</w:t>
      </w:r>
      <w:r w:rsidR="008456A7">
        <w:t xml:space="preserve"> (German), </w:t>
      </w:r>
      <w:r w:rsidR="0077521D">
        <w:t xml:space="preserve">and the </w:t>
      </w:r>
      <w:r w:rsidR="0077521D" w:rsidRPr="0077521D">
        <w:t>Biblioteca Nacional de España</w:t>
      </w:r>
      <w:r w:rsidR="0077521D">
        <w:t xml:space="preserve"> (Spanish).  Work continues within OCLC to transition operational aspects of VIAF from OCLC Research to OCLC’s production staff. </w:t>
      </w:r>
    </w:p>
    <w:p w:rsidR="004B2C2C" w:rsidRDefault="00BF3DBB" w:rsidP="006D0601">
      <w:r>
        <w:t>Following dialogue with the</w:t>
      </w:r>
      <w:r w:rsidR="004B2C2C">
        <w:t xml:space="preserve"> the </w:t>
      </w:r>
      <w:r w:rsidRPr="0077521D">
        <w:t>Biblioteca Nacional de España</w:t>
      </w:r>
      <w:r>
        <w:t xml:space="preserve"> (BNE) and the recent addition of data from the </w:t>
      </w:r>
      <w:r w:rsidRPr="00BF3DBB">
        <w:t>Biblioteca de Catalunya</w:t>
      </w:r>
      <w:r>
        <w:t xml:space="preserve"> (BC), OCLC has established a </w:t>
      </w:r>
      <w:r w:rsidRPr="00BF3DBB">
        <w:rPr>
          <w:i/>
        </w:rPr>
        <w:t>Hispánica</w:t>
      </w:r>
      <w:r>
        <w:t xml:space="preserve"> view option in viaf.org.  Going forward</w:t>
      </w:r>
      <w:r w:rsidR="00D10AC7">
        <w:t>,</w:t>
      </w:r>
      <w:r>
        <w:t xml:space="preserve"> the BNE with the BC and other appropriate organizations will work with OCLC to increase the authority data available in VIAF from  Spanish, </w:t>
      </w:r>
      <w:r w:rsidRPr="00BF3DBB">
        <w:t xml:space="preserve">Catalan, Basque, Galician, </w:t>
      </w:r>
      <w:r w:rsidR="00350FBD">
        <w:t xml:space="preserve">and </w:t>
      </w:r>
      <w:r w:rsidRPr="00BF3DBB">
        <w:t>Valencian</w:t>
      </w:r>
      <w:r>
        <w:t xml:space="preserve"> data sources. </w:t>
      </w:r>
    </w:p>
    <w:p w:rsidR="00E35DEA" w:rsidRDefault="00E35DEA" w:rsidP="00E35DEA"/>
    <w:p w:rsidR="006B7107" w:rsidRDefault="006B7107">
      <w:pPr>
        <w:rPr>
          <w:rFonts w:ascii="Calibri" w:eastAsiaTheme="majorEastAsia" w:hAnsi="Calibri" w:cstheme="majorBidi"/>
          <w:b/>
          <w:bCs/>
          <w:sz w:val="24"/>
          <w:szCs w:val="26"/>
        </w:rPr>
      </w:pPr>
      <w:r>
        <w:br w:type="page"/>
      </w:r>
    </w:p>
    <w:p w:rsidR="00BB6A95" w:rsidRDefault="00BB6A95" w:rsidP="00BB6A95">
      <w:pPr>
        <w:pStyle w:val="Heading2"/>
        <w:spacing w:after="120"/>
      </w:pPr>
      <w:r>
        <w:lastRenderedPageBreak/>
        <w:t>VIAF Outreach</w:t>
      </w:r>
    </w:p>
    <w:p w:rsidR="00BB6A95" w:rsidRDefault="00BB6A95" w:rsidP="00BB6A95">
      <w:r>
        <w:t xml:space="preserve">OCLC staff have presented information about VIAF in a variety of settings including: </w:t>
      </w:r>
    </w:p>
    <w:p w:rsidR="00BB6A95" w:rsidRPr="00BB6A95" w:rsidRDefault="00BB6A95" w:rsidP="00BB6A95">
      <w:pPr>
        <w:pStyle w:val="NormalWeb"/>
        <w:rPr>
          <w:rStyle w:val="Strong"/>
          <w:rFonts w:asciiTheme="minorHAnsi" w:hAnsiTheme="minorHAnsi"/>
          <w:b w:val="0"/>
          <w:bCs w:val="0"/>
          <w:sz w:val="22"/>
        </w:rPr>
      </w:pPr>
      <w:r w:rsidRPr="00BB6A95">
        <w:rPr>
          <w:rStyle w:val="Strong"/>
          <w:rFonts w:asciiTheme="minorHAnsi" w:hAnsiTheme="minorHAnsi"/>
          <w:sz w:val="22"/>
        </w:rPr>
        <w:t>Titia van der Werf</w:t>
      </w:r>
      <w:r w:rsidRPr="00BB6A95">
        <w:rPr>
          <w:rFonts w:asciiTheme="minorHAnsi" w:hAnsiTheme="minorHAnsi"/>
          <w:b/>
          <w:bCs/>
          <w:sz w:val="22"/>
        </w:rPr>
        <w:br/>
      </w:r>
      <w:r w:rsidRPr="00BB6A95">
        <w:rPr>
          <w:rStyle w:val="Strong"/>
          <w:rFonts w:asciiTheme="minorHAnsi" w:hAnsiTheme="minorHAnsi"/>
          <w:sz w:val="22"/>
        </w:rPr>
        <w:t>Virtual International Authority File (VIAF) and International Standard Name Identifier (ISNI)</w:t>
      </w:r>
      <w:r w:rsidRPr="00BB6A95">
        <w:rPr>
          <w:rFonts w:asciiTheme="minorHAnsi" w:hAnsiTheme="minorHAnsi"/>
          <w:sz w:val="22"/>
        </w:rPr>
        <w:br/>
      </w:r>
      <w:hyperlink r:id="rId23" w:history="1">
        <w:r w:rsidRPr="00BB6A95">
          <w:rPr>
            <w:rStyle w:val="Hyperlink"/>
            <w:rFonts w:asciiTheme="minorHAnsi" w:hAnsiTheme="minorHAnsi"/>
            <w:sz w:val="22"/>
          </w:rPr>
          <w:t>COAR 4th Annual Meeting</w:t>
        </w:r>
      </w:hyperlink>
      <w:r w:rsidRPr="00BB6A95">
        <w:rPr>
          <w:rFonts w:asciiTheme="minorHAnsi" w:hAnsiTheme="minorHAnsi"/>
          <w:sz w:val="22"/>
        </w:rPr>
        <w:t>, 8 May 2013, Istanbul, Turkey</w:t>
      </w:r>
      <w:r w:rsidRPr="00BB6A95">
        <w:rPr>
          <w:rFonts w:asciiTheme="minorHAnsi" w:hAnsiTheme="minorHAnsi"/>
          <w:sz w:val="22"/>
        </w:rPr>
        <w:br/>
      </w:r>
      <w:hyperlink r:id="rId24" w:history="1">
        <w:r w:rsidRPr="00BB6A95">
          <w:rPr>
            <w:rStyle w:val="Strong"/>
            <w:rFonts w:asciiTheme="minorHAnsi" w:hAnsiTheme="minorHAnsi"/>
            <w:color w:val="0000FF"/>
            <w:sz w:val="22"/>
            <w:u w:val="single"/>
          </w:rPr>
          <w:t>Download the presentation</w:t>
        </w:r>
      </w:hyperlink>
      <w:r w:rsidRPr="00BB6A95">
        <w:rPr>
          <w:rFonts w:asciiTheme="minorHAnsi" w:hAnsiTheme="minorHAnsi"/>
          <w:sz w:val="22"/>
        </w:rPr>
        <w:t> </w:t>
      </w:r>
      <w:r w:rsidRPr="00BB6A95">
        <w:rPr>
          <w:rStyle w:val="text-small"/>
          <w:rFonts w:asciiTheme="minorHAnsi" w:eastAsiaTheme="majorEastAsia" w:hAnsiTheme="minorHAnsi"/>
          <w:sz w:val="22"/>
        </w:rPr>
        <w:t>(.ppt: 6.5MB/32 slides)</w:t>
      </w:r>
      <w:r w:rsidRPr="00BB6A95">
        <w:rPr>
          <w:rFonts w:asciiTheme="minorHAnsi" w:hAnsiTheme="minorHAnsi"/>
          <w:b/>
          <w:bCs/>
          <w:sz w:val="22"/>
        </w:rPr>
        <w:br/>
      </w:r>
      <w:hyperlink r:id="rId25" w:history="1">
        <w:r w:rsidRPr="00BB6A95">
          <w:rPr>
            <w:rStyle w:val="Hyperlink"/>
            <w:rFonts w:asciiTheme="minorHAnsi" w:hAnsiTheme="minorHAnsi"/>
            <w:b/>
            <w:bCs/>
            <w:sz w:val="22"/>
          </w:rPr>
          <w:t>View on SlideShare</w:t>
        </w:r>
      </w:hyperlink>
    </w:p>
    <w:p w:rsidR="00BB6A95" w:rsidRDefault="00BB6A95" w:rsidP="00BB6A95">
      <w:r>
        <w:rPr>
          <w:rStyle w:val="Strong"/>
        </w:rPr>
        <w:t>Thom Hickey</w:t>
      </w:r>
      <w:r>
        <w:rPr>
          <w:b/>
          <w:bCs/>
        </w:rPr>
        <w:br/>
      </w:r>
      <w:r>
        <w:rPr>
          <w:rStyle w:val="Strong"/>
        </w:rPr>
        <w:t>VIAF Update</w:t>
      </w:r>
      <w:r>
        <w:rPr>
          <w:b/>
          <w:bCs/>
        </w:rPr>
        <w:br/>
      </w:r>
      <w:hyperlink r:id="rId26" w:history="1">
        <w:r>
          <w:rPr>
            <w:rStyle w:val="Hyperlink"/>
          </w:rPr>
          <w:t>EMEARC</w:t>
        </w:r>
      </w:hyperlink>
      <w:r>
        <w:t>, 25 February 2013, Strasbourg, France</w:t>
      </w:r>
      <w:r>
        <w:br/>
      </w:r>
      <w:hyperlink r:id="rId27" w:history="1">
        <w:r>
          <w:rPr>
            <w:rStyle w:val="Strong"/>
            <w:color w:val="0000FF"/>
            <w:u w:val="single"/>
          </w:rPr>
          <w:t>Download the presentation</w:t>
        </w:r>
      </w:hyperlink>
      <w:r>
        <w:rPr>
          <w:rStyle w:val="Strong"/>
        </w:rPr>
        <w:t xml:space="preserve"> </w:t>
      </w:r>
      <w:r>
        <w:rPr>
          <w:rStyle w:val="text-small"/>
        </w:rPr>
        <w:t>(.pptx: 1.4MB/14 slides)</w:t>
      </w:r>
      <w:r>
        <w:br/>
      </w:r>
      <w:hyperlink r:id="rId28" w:history="1">
        <w:r>
          <w:rPr>
            <w:rStyle w:val="Strong"/>
            <w:color w:val="0000FF"/>
            <w:u w:val="single"/>
          </w:rPr>
          <w:t>View on SlideShare</w:t>
        </w:r>
      </w:hyperlink>
    </w:p>
    <w:p w:rsidR="00BB6A95" w:rsidRPr="00BB6A95" w:rsidRDefault="00BB6A95" w:rsidP="00BB6A95">
      <w:pPr>
        <w:pStyle w:val="NormalWeb"/>
        <w:rPr>
          <w:rFonts w:asciiTheme="minorHAnsi" w:hAnsiTheme="minorHAnsi"/>
          <w:sz w:val="22"/>
        </w:rPr>
      </w:pPr>
      <w:r w:rsidRPr="00BB6A95">
        <w:rPr>
          <w:rStyle w:val="Strong"/>
          <w:rFonts w:asciiTheme="minorHAnsi" w:hAnsiTheme="minorHAnsi"/>
          <w:sz w:val="22"/>
        </w:rPr>
        <w:t>Maximilian Klein</w:t>
      </w:r>
      <w:r w:rsidRPr="00BB6A95">
        <w:rPr>
          <w:rFonts w:asciiTheme="minorHAnsi" w:hAnsiTheme="minorHAnsi"/>
          <w:b/>
          <w:bCs/>
          <w:sz w:val="22"/>
        </w:rPr>
        <w:br/>
      </w:r>
      <w:r w:rsidRPr="00BB6A95">
        <w:rPr>
          <w:rStyle w:val="Strong"/>
          <w:rFonts w:asciiTheme="minorHAnsi" w:hAnsiTheme="minorHAnsi"/>
          <w:sz w:val="22"/>
        </w:rPr>
        <w:t>VIAF Data in Wikipedia &amp; Wikidata</w:t>
      </w:r>
      <w:r w:rsidRPr="00BB6A95">
        <w:rPr>
          <w:rFonts w:asciiTheme="minorHAnsi" w:hAnsiTheme="minorHAnsi"/>
          <w:sz w:val="22"/>
        </w:rPr>
        <w:br/>
      </w:r>
      <w:hyperlink r:id="rId29" w:history="1">
        <w:r w:rsidRPr="00BB6A95">
          <w:rPr>
            <w:rStyle w:val="Hyperlink"/>
            <w:rFonts w:asciiTheme="minorHAnsi" w:hAnsiTheme="minorHAnsi"/>
            <w:sz w:val="22"/>
          </w:rPr>
          <w:t>EMEARC</w:t>
        </w:r>
      </w:hyperlink>
      <w:r w:rsidRPr="00BB6A95">
        <w:rPr>
          <w:rFonts w:asciiTheme="minorHAnsi" w:hAnsiTheme="minorHAnsi"/>
          <w:sz w:val="22"/>
        </w:rPr>
        <w:t>, 25 February 2013, Strasbourg, France</w:t>
      </w:r>
      <w:r w:rsidRPr="00BB6A95">
        <w:rPr>
          <w:rFonts w:asciiTheme="minorHAnsi" w:hAnsiTheme="minorHAnsi"/>
          <w:sz w:val="22"/>
        </w:rPr>
        <w:br/>
      </w:r>
      <w:hyperlink r:id="rId30" w:history="1">
        <w:r w:rsidRPr="00BB6A95">
          <w:rPr>
            <w:rStyle w:val="Strong"/>
            <w:rFonts w:asciiTheme="minorHAnsi" w:hAnsiTheme="minorHAnsi"/>
            <w:color w:val="0000FF"/>
            <w:sz w:val="22"/>
            <w:u w:val="single"/>
          </w:rPr>
          <w:t>Download the presentation</w:t>
        </w:r>
      </w:hyperlink>
      <w:r w:rsidRPr="00BB6A95">
        <w:rPr>
          <w:rFonts w:asciiTheme="minorHAnsi" w:hAnsiTheme="minorHAnsi"/>
          <w:sz w:val="22"/>
        </w:rPr>
        <w:t> </w:t>
      </w:r>
      <w:r w:rsidRPr="00BB6A95">
        <w:rPr>
          <w:rStyle w:val="text-small"/>
          <w:rFonts w:asciiTheme="minorHAnsi" w:eastAsiaTheme="majorEastAsia" w:hAnsiTheme="minorHAnsi"/>
          <w:sz w:val="22"/>
        </w:rPr>
        <w:t>(.pptx: 1.2MB/28 slides)</w:t>
      </w:r>
      <w:r w:rsidRPr="00BB6A95">
        <w:rPr>
          <w:rFonts w:asciiTheme="minorHAnsi" w:hAnsiTheme="minorHAnsi"/>
          <w:b/>
          <w:bCs/>
          <w:sz w:val="22"/>
        </w:rPr>
        <w:br/>
      </w:r>
      <w:hyperlink r:id="rId31" w:history="1">
        <w:r w:rsidRPr="00BB6A95">
          <w:rPr>
            <w:rStyle w:val="Hyperlink"/>
            <w:rFonts w:asciiTheme="minorHAnsi" w:hAnsiTheme="minorHAnsi"/>
            <w:b/>
            <w:bCs/>
            <w:sz w:val="22"/>
          </w:rPr>
          <w:t>View on SlideShare</w:t>
        </w:r>
      </w:hyperlink>
    </w:p>
    <w:p w:rsidR="00BB6A95" w:rsidRDefault="00BB6A95" w:rsidP="00BB6A95">
      <w:r>
        <w:rPr>
          <w:rStyle w:val="Strong"/>
        </w:rPr>
        <w:t>Eric Childress</w:t>
      </w:r>
      <w:r>
        <w:br/>
      </w:r>
      <w:r>
        <w:rPr>
          <w:rStyle w:val="Strong"/>
        </w:rPr>
        <w:t>VIAF for NAAC</w:t>
      </w:r>
      <w:r>
        <w:br/>
      </w:r>
      <w:hyperlink r:id="rId32" w:history="1">
        <w:r>
          <w:rPr>
            <w:rStyle w:val="Hyperlink"/>
          </w:rPr>
          <w:t>NAAC Meeting</w:t>
        </w:r>
      </w:hyperlink>
      <w:r>
        <w:t>, National Archives and Records Administration, 4-5 October 2012, Washington, D.C. (USA)</w:t>
      </w:r>
      <w:r>
        <w:br/>
      </w:r>
      <w:hyperlink r:id="rId33" w:tgtFrame="_blank" w:history="1">
        <w:r>
          <w:rPr>
            <w:rStyle w:val="Strong"/>
            <w:color w:val="0000FF"/>
            <w:u w:val="single"/>
          </w:rPr>
          <w:t>Download the presentation</w:t>
        </w:r>
      </w:hyperlink>
      <w:r>
        <w:t xml:space="preserve"> </w:t>
      </w:r>
      <w:r>
        <w:rPr>
          <w:rStyle w:val="small"/>
        </w:rPr>
        <w:t>(.pptx: 5.4MB/43 slides)</w:t>
      </w:r>
      <w:r>
        <w:br/>
      </w:r>
      <w:hyperlink r:id="rId34" w:history="1">
        <w:r>
          <w:rPr>
            <w:rStyle w:val="Strong"/>
            <w:color w:val="0000FF"/>
            <w:u w:val="single"/>
          </w:rPr>
          <w:t>View on SlideShare</w:t>
        </w:r>
      </w:hyperlink>
    </w:p>
    <w:p w:rsidR="00AA6BED" w:rsidRDefault="00AA6BED" w:rsidP="00BB6A95"/>
    <w:p w:rsidR="00412919" w:rsidRDefault="00412919" w:rsidP="00BB6A95">
      <w:r>
        <w:t>Additionally, OCLC Research cooperated with Europeana to explore better clustering of Europeana metadata and the possibility of enriching Europeana data with VIAF identifiers (</w:t>
      </w:r>
      <w:r w:rsidR="005345C8">
        <w:t xml:space="preserve">for more information, </w:t>
      </w:r>
      <w:r>
        <w:t xml:space="preserve">see </w:t>
      </w:r>
      <w:hyperlink r:id="rId35" w:history="1">
        <w:r w:rsidRPr="00513C45">
          <w:rPr>
            <w:rStyle w:val="Hyperlink"/>
          </w:rPr>
          <w:t>http://www.oclc.org/research/activities/europeana.html</w:t>
        </w:r>
      </w:hyperlink>
      <w:r>
        <w:t xml:space="preserve"> )</w:t>
      </w:r>
    </w:p>
    <w:p w:rsidR="00BF324D" w:rsidRDefault="00BF324D">
      <w:pPr>
        <w:rPr>
          <w:rFonts w:ascii="Calibri" w:eastAsiaTheme="majorEastAsia" w:hAnsi="Calibri" w:cstheme="majorBidi"/>
          <w:b/>
          <w:bCs/>
          <w:sz w:val="24"/>
          <w:szCs w:val="26"/>
        </w:rPr>
      </w:pPr>
      <w:r>
        <w:br w:type="page"/>
      </w:r>
    </w:p>
    <w:p w:rsidR="00AA6BED" w:rsidRDefault="00AA6BED" w:rsidP="00AA6BED">
      <w:pPr>
        <w:pStyle w:val="Heading2"/>
        <w:spacing w:after="120"/>
      </w:pPr>
      <w:r>
        <w:lastRenderedPageBreak/>
        <w:t>VIAF Council</w:t>
      </w:r>
    </w:p>
    <w:p w:rsidR="00AA6BED" w:rsidRDefault="00AA6BED" w:rsidP="00AA6BED">
      <w:r>
        <w:t xml:space="preserve">As part of the transition of VIAF to an OCLC service in 2012, the VIAF Council (VIAFC) was formed to advise OCLC about VIAF.  All VIAF Contributors are invited to appoint an official member to the VIAFC. </w:t>
      </w:r>
    </w:p>
    <w:p w:rsidR="00AA6BED" w:rsidRDefault="00AA6BED" w:rsidP="00AA6BED">
      <w:r>
        <w:t>The first Annual Meeting</w:t>
      </w:r>
      <w:r>
        <w:rPr>
          <w:rStyle w:val="FootnoteReference"/>
        </w:rPr>
        <w:footnoteReference w:id="4"/>
      </w:r>
      <w:r>
        <w:t xml:space="preserve"> of the VIAFC took place in Helsinki, Finland on 10 August, 2012 in conjunction with the </w:t>
      </w:r>
      <w:r w:rsidRPr="007105CB">
        <w:t>World Libra</w:t>
      </w:r>
      <w:r>
        <w:t>ry and Information Congress, Barbara Tillett (Library of Congress) serving as initial VIAFC chair.  The meeting was held at the National Library of Finland (</w:t>
      </w:r>
      <w:r w:rsidRPr="00B34EA2">
        <w:t>Kansalliskirjasto</w:t>
      </w:r>
      <w:r>
        <w:t>).</w:t>
      </w:r>
    </w:p>
    <w:p w:rsidR="00BF324D" w:rsidRDefault="00AA6BED" w:rsidP="00AA6BED">
      <w:r>
        <w:t xml:space="preserve">The VIAFC heard presentations, elected a Chair, Vincent Boulet (Bibliothèque nationale de France), serving a 1-year term through 16 August, 2013, and a Chair-elect, </w:t>
      </w:r>
      <w:r w:rsidR="00DD5D60" w:rsidRPr="00DD5D60">
        <w:t xml:space="preserve">Brigitte Wiechmann </w:t>
      </w:r>
      <w:r>
        <w:t xml:space="preserve">(Deutsche Nationalbibliothek) who will serve as Chair from 17 August, 2013 to the close of the VIAFC Annual Meeting in Lyon, France in August, 2014. </w:t>
      </w:r>
    </w:p>
    <w:p w:rsidR="00AA6BED" w:rsidRDefault="00BF324D" w:rsidP="00AA6BED">
      <w:r>
        <w:t>At the 2012 Annual Meeting,</w:t>
      </w:r>
      <w:r w:rsidR="00AA6BED">
        <w:t xml:space="preserve"> t</w:t>
      </w:r>
      <w:r>
        <w:t>he VIAFC created two task groups:</w:t>
      </w:r>
    </w:p>
    <w:p w:rsidR="00BF324D" w:rsidRDefault="00BF324D" w:rsidP="00BF324D">
      <w:pPr>
        <w:pStyle w:val="ListParagraph"/>
        <w:numPr>
          <w:ilvl w:val="0"/>
          <w:numId w:val="4"/>
        </w:numPr>
      </w:pPr>
      <w:r>
        <w:t>Group n°1 : Public presence of and advocacy for VIAF (promotion, communication on effective and possible reuses of VIAF clusters...)</w:t>
      </w:r>
    </w:p>
    <w:p w:rsidR="00BF324D" w:rsidRDefault="00BF324D" w:rsidP="00BF324D">
      <w:pPr>
        <w:pStyle w:val="ListParagraph"/>
        <w:numPr>
          <w:ilvl w:val="0"/>
          <w:numId w:val="4"/>
        </w:numPr>
      </w:pPr>
      <w:r>
        <w:t>Group n°2 : Privacy issues (content of the VIAF records, e. g. the data available for a public display and free reuse, the distinction between public display and the data processed by the merging algorithm...)</w:t>
      </w:r>
    </w:p>
    <w:p w:rsidR="00AA6BED" w:rsidRDefault="00AA6BED" w:rsidP="00AA6BED">
      <w:r>
        <w:t xml:space="preserve">A VIAF Workshop was held 25 February 2013 in </w:t>
      </w:r>
      <w:r w:rsidR="000C54E4">
        <w:t>Strasbourg</w:t>
      </w:r>
      <w:r>
        <w:t xml:space="preserve">, France in conjunction with OCLC EMEA Regional Council meeting.  The VIAF Council held a virtual meeting 2 May 2013 to receive updates from OCLC staff and discuss other items of interest. </w:t>
      </w:r>
    </w:p>
    <w:p w:rsidR="00AA6BED" w:rsidRDefault="00AA6BED" w:rsidP="00AA6BED">
      <w:r>
        <w:t xml:space="preserve">The second Annual Meeting of the VIAFC will be held 16 August, 2013 in </w:t>
      </w:r>
      <w:r w:rsidR="000C54E4">
        <w:t>Singapore</w:t>
      </w:r>
      <w:r>
        <w:t xml:space="preserve"> at the Central Public Library, courtesy of the National Library Board of Singapore. </w:t>
      </w:r>
    </w:p>
    <w:p w:rsidR="00AA6BED" w:rsidRPr="00BB6A95" w:rsidRDefault="00AA6BED" w:rsidP="00BB6A95"/>
    <w:sectPr w:rsidR="00AA6BED" w:rsidRPr="00BB6A95" w:rsidSect="00DF028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3CB" w:rsidRDefault="007253CB" w:rsidP="00B17582">
      <w:pPr>
        <w:spacing w:after="0" w:line="240" w:lineRule="auto"/>
      </w:pPr>
      <w:r>
        <w:separator/>
      </w:r>
    </w:p>
  </w:endnote>
  <w:endnote w:type="continuationSeparator" w:id="0">
    <w:p w:rsidR="007253CB" w:rsidRDefault="007253CB" w:rsidP="00B1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F4" w:rsidRDefault="009A3E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6749"/>
      <w:docPartObj>
        <w:docPartGallery w:val="Page Numbers (Bottom of Page)"/>
        <w:docPartUnique/>
      </w:docPartObj>
    </w:sdtPr>
    <w:sdtContent>
      <w:p w:rsidR="009A3EF4" w:rsidRDefault="009A3EF4" w:rsidP="009A3EF4">
        <w:pPr>
          <w:pStyle w:val="Footer"/>
          <w:tabs>
            <w:tab w:val="clear" w:pos="4680"/>
            <w:tab w:val="clear" w:pos="9360"/>
            <w:tab w:val="left" w:pos="9720"/>
          </w:tabs>
          <w:ind w:right="-274"/>
        </w:pPr>
      </w:p>
      <w:p w:rsidR="009A3EF4" w:rsidRDefault="008A32BD" w:rsidP="009A3EF4">
        <w:pPr>
          <w:pStyle w:val="Footer"/>
          <w:tabs>
            <w:tab w:val="clear" w:pos="4680"/>
            <w:tab w:val="clear" w:pos="9360"/>
            <w:tab w:val="left" w:pos="8820"/>
          </w:tabs>
          <w:ind w:right="540" w:firstLine="5040"/>
        </w:pPr>
        <w:r>
          <w:rPr>
            <w:noProof/>
          </w:rPr>
          <w:pict>
            <v:shapetype id="_x0000_t32" coordsize="21600,21600" o:spt="32" o:oned="t" path="m,l21600,21600e" filled="f">
              <v:path arrowok="t" fillok="f" o:connecttype="none"/>
              <o:lock v:ext="edit" shapetype="t"/>
            </v:shapetype>
            <v:shape id="_x0000_s3075" type="#_x0000_t32" style="position:absolute;left:0;text-align:left;margin-left:-5.25pt;margin-top:-6.1pt;width:458.25pt;height:.05pt;z-index:251658240" o:connectortype="straight"/>
          </w:pict>
        </w:r>
        <w:r w:rsidR="009A3EF4">
          <w:t>OCLC | Annual Report to VIAF Council</w:t>
        </w:r>
        <w:r w:rsidR="009A3EF4">
          <w:tab/>
        </w:r>
        <w:fldSimple w:instr=" PAGE   \* MERGEFORMAT ">
          <w:r w:rsidR="00FA1C5C">
            <w:rPr>
              <w:noProof/>
            </w:rPr>
            <w:t>12</w:t>
          </w:r>
        </w:fldSimple>
      </w:p>
    </w:sdtContent>
  </w:sdt>
  <w:p w:rsidR="009A3EF4" w:rsidRDefault="009A3EF4" w:rsidP="009A3EF4">
    <w:pPr>
      <w:pStyle w:val="Footer"/>
      <w:tabs>
        <w:tab w:val="clear" w:pos="4680"/>
        <w:tab w:val="clear" w:pos="9360"/>
        <w:tab w:val="left" w:pos="8910"/>
      </w:tabs>
      <w:ind w:right="-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F4" w:rsidRDefault="009A3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3CB" w:rsidRDefault="007253CB" w:rsidP="00B17582">
      <w:pPr>
        <w:spacing w:after="0" w:line="240" w:lineRule="auto"/>
      </w:pPr>
      <w:r>
        <w:separator/>
      </w:r>
    </w:p>
  </w:footnote>
  <w:footnote w:type="continuationSeparator" w:id="0">
    <w:p w:rsidR="007253CB" w:rsidRDefault="007253CB" w:rsidP="00B17582">
      <w:pPr>
        <w:spacing w:after="0" w:line="240" w:lineRule="auto"/>
      </w:pPr>
      <w:r>
        <w:continuationSeparator/>
      </w:r>
    </w:p>
  </w:footnote>
  <w:footnote w:id="1">
    <w:p w:rsidR="00DF028B" w:rsidRDefault="00DF028B" w:rsidP="00B17582">
      <w:r>
        <w:rPr>
          <w:rStyle w:val="FootnoteReference"/>
        </w:rPr>
        <w:footnoteRef/>
      </w:r>
      <w:r>
        <w:t xml:space="preserve"> </w:t>
      </w:r>
      <w:r w:rsidRPr="00EE5B53">
        <w:rPr>
          <w:sz w:val="20"/>
        </w:rPr>
        <w:t xml:space="preserve">VIAF transitioned from a joint, experimental activity of the United States Library of Congress (LC), the German National Library (Deutsche Nationalbibliothek, or DNB) National Library of France (Bibliothèque nationale de France, or BnF) and OCLC to become an OCLC service in early 2012. For more information see the OCLC news announcement: </w:t>
      </w:r>
      <w:hyperlink r:id="rId1" w:history="1">
        <w:r w:rsidRPr="00EE5B53">
          <w:rPr>
            <w:rStyle w:val="Hyperlink"/>
            <w:sz w:val="20"/>
          </w:rPr>
          <w:t>http://www.oclc.org/news/releases/2012/201224.en.html</w:t>
        </w:r>
      </w:hyperlink>
      <w:r w:rsidRPr="00EE5B53">
        <w:rPr>
          <w:sz w:val="20"/>
        </w:rPr>
        <w:t xml:space="preserve"> </w:t>
      </w:r>
    </w:p>
  </w:footnote>
  <w:footnote w:id="2">
    <w:p w:rsidR="00DF028B" w:rsidRDefault="00DF028B">
      <w:pPr>
        <w:pStyle w:val="FootnoteText"/>
      </w:pPr>
      <w:r>
        <w:rPr>
          <w:rStyle w:val="FootnoteReference"/>
        </w:rPr>
        <w:footnoteRef/>
      </w:r>
      <w:r>
        <w:t xml:space="preserve"> VIAF Contributors commit to participate in actively contributing to VIAF and VIAF Council. Non-Contributor data sources provide data only. </w:t>
      </w:r>
    </w:p>
  </w:footnote>
  <w:footnote w:id="3">
    <w:p w:rsidR="00DF028B" w:rsidRDefault="00DF028B">
      <w:pPr>
        <w:pStyle w:val="FootnoteText"/>
      </w:pPr>
      <w:r>
        <w:rPr>
          <w:rStyle w:val="FootnoteReference"/>
        </w:rPr>
        <w:footnoteRef/>
      </w:r>
      <w:r>
        <w:t xml:space="preserve"> For more information about VIAF and Wikipedia, see </w:t>
      </w:r>
      <w:hyperlink r:id="rId2" w:history="1">
        <w:r w:rsidRPr="00513C45">
          <w:rPr>
            <w:rStyle w:val="Hyperlink"/>
          </w:rPr>
          <w:t>http://www.oclc.org/research/news/2012/12-07a.html</w:t>
        </w:r>
      </w:hyperlink>
    </w:p>
  </w:footnote>
  <w:footnote w:id="4">
    <w:p w:rsidR="00DF028B" w:rsidRDefault="00DF028B" w:rsidP="00AA6BED">
      <w:pPr>
        <w:pStyle w:val="FootnoteText"/>
      </w:pPr>
      <w:r>
        <w:rPr>
          <w:rStyle w:val="FootnoteReference"/>
        </w:rPr>
        <w:footnoteRef/>
      </w:r>
      <w:r>
        <w:t xml:space="preserve"> Information about VIAFC meetings including presentations and minutes may be found here: </w:t>
      </w:r>
      <w:hyperlink r:id="rId3" w:history="1">
        <w:r w:rsidRPr="00513C45">
          <w:rPr>
            <w:rStyle w:val="Hyperlink"/>
          </w:rPr>
          <w:t>http://www.oclc.org/viaf/news.en.html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F4" w:rsidRDefault="009A3E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F4" w:rsidRDefault="009A3E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F4" w:rsidRDefault="009A3E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D6625"/>
    <w:multiLevelType w:val="hybridMultilevel"/>
    <w:tmpl w:val="E4EA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F2222"/>
    <w:multiLevelType w:val="hybridMultilevel"/>
    <w:tmpl w:val="0B84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E08C3"/>
    <w:multiLevelType w:val="hybridMultilevel"/>
    <w:tmpl w:val="813EB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7B5CDB"/>
    <w:multiLevelType w:val="hybridMultilevel"/>
    <w:tmpl w:val="F0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5A15AE"/>
    <w:multiLevelType w:val="hybridMultilevel"/>
    <w:tmpl w:val="D0F60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o:shapelayout v:ext="edit">
      <o:idmap v:ext="edit" data="3"/>
      <o:rules v:ext="edit">
        <o:r id="V:Rule2" type="connector" idref="#_x0000_s3075"/>
      </o:rules>
    </o:shapelayout>
  </w:hdrShapeDefaults>
  <w:footnotePr>
    <w:footnote w:id="-1"/>
    <w:footnote w:id="0"/>
  </w:footnotePr>
  <w:endnotePr>
    <w:endnote w:id="-1"/>
    <w:endnote w:id="0"/>
  </w:endnotePr>
  <w:compat/>
  <w:rsids>
    <w:rsidRoot w:val="00164C18"/>
    <w:rsid w:val="00001FF7"/>
    <w:rsid w:val="00036091"/>
    <w:rsid w:val="0005051A"/>
    <w:rsid w:val="00064166"/>
    <w:rsid w:val="00080347"/>
    <w:rsid w:val="00085703"/>
    <w:rsid w:val="000A1E9D"/>
    <w:rsid w:val="000B6B78"/>
    <w:rsid w:val="000C0C73"/>
    <w:rsid w:val="000C378A"/>
    <w:rsid w:val="000C54E4"/>
    <w:rsid w:val="000E6582"/>
    <w:rsid w:val="00102346"/>
    <w:rsid w:val="00103C03"/>
    <w:rsid w:val="00136127"/>
    <w:rsid w:val="001404AF"/>
    <w:rsid w:val="001507EF"/>
    <w:rsid w:val="00157744"/>
    <w:rsid w:val="00164C18"/>
    <w:rsid w:val="00177818"/>
    <w:rsid w:val="001D1F82"/>
    <w:rsid w:val="001F3761"/>
    <w:rsid w:val="00274E13"/>
    <w:rsid w:val="00293D61"/>
    <w:rsid w:val="002A64A5"/>
    <w:rsid w:val="002F3CFC"/>
    <w:rsid w:val="002F4E5C"/>
    <w:rsid w:val="003224F1"/>
    <w:rsid w:val="00345729"/>
    <w:rsid w:val="00350FBD"/>
    <w:rsid w:val="003676E8"/>
    <w:rsid w:val="003954F8"/>
    <w:rsid w:val="003C402D"/>
    <w:rsid w:val="003D680C"/>
    <w:rsid w:val="003F0AC4"/>
    <w:rsid w:val="00412919"/>
    <w:rsid w:val="00497E37"/>
    <w:rsid w:val="004B2C2C"/>
    <w:rsid w:val="005345C8"/>
    <w:rsid w:val="005E4B52"/>
    <w:rsid w:val="005F6905"/>
    <w:rsid w:val="005F7984"/>
    <w:rsid w:val="006135AC"/>
    <w:rsid w:val="00615623"/>
    <w:rsid w:val="0064236E"/>
    <w:rsid w:val="00662CF0"/>
    <w:rsid w:val="006B7107"/>
    <w:rsid w:val="006D0601"/>
    <w:rsid w:val="007105CB"/>
    <w:rsid w:val="007253CB"/>
    <w:rsid w:val="00767D7C"/>
    <w:rsid w:val="0077521D"/>
    <w:rsid w:val="007D5352"/>
    <w:rsid w:val="007E7AE2"/>
    <w:rsid w:val="007F7F68"/>
    <w:rsid w:val="00817553"/>
    <w:rsid w:val="008233AA"/>
    <w:rsid w:val="008456A7"/>
    <w:rsid w:val="00871B9E"/>
    <w:rsid w:val="008A32BD"/>
    <w:rsid w:val="008C2BA9"/>
    <w:rsid w:val="009543AF"/>
    <w:rsid w:val="00956234"/>
    <w:rsid w:val="009772F6"/>
    <w:rsid w:val="009A3EF4"/>
    <w:rsid w:val="009C0176"/>
    <w:rsid w:val="009E6189"/>
    <w:rsid w:val="00A0112F"/>
    <w:rsid w:val="00A02D6E"/>
    <w:rsid w:val="00AA1B44"/>
    <w:rsid w:val="00AA6BED"/>
    <w:rsid w:val="00AB0D3A"/>
    <w:rsid w:val="00AB24CF"/>
    <w:rsid w:val="00B169E4"/>
    <w:rsid w:val="00B17582"/>
    <w:rsid w:val="00B342E1"/>
    <w:rsid w:val="00B34EA2"/>
    <w:rsid w:val="00B4610D"/>
    <w:rsid w:val="00B559AF"/>
    <w:rsid w:val="00B62AAC"/>
    <w:rsid w:val="00B756B0"/>
    <w:rsid w:val="00B84DFB"/>
    <w:rsid w:val="00BA4B38"/>
    <w:rsid w:val="00BB6A95"/>
    <w:rsid w:val="00BF324D"/>
    <w:rsid w:val="00BF3DBB"/>
    <w:rsid w:val="00C5093C"/>
    <w:rsid w:val="00C61B55"/>
    <w:rsid w:val="00C65921"/>
    <w:rsid w:val="00CA60A3"/>
    <w:rsid w:val="00CD50B3"/>
    <w:rsid w:val="00D10AC7"/>
    <w:rsid w:val="00D341C7"/>
    <w:rsid w:val="00D87220"/>
    <w:rsid w:val="00D91E8C"/>
    <w:rsid w:val="00DD5D60"/>
    <w:rsid w:val="00DE4A7B"/>
    <w:rsid w:val="00DF028B"/>
    <w:rsid w:val="00DF5E1B"/>
    <w:rsid w:val="00E35DEA"/>
    <w:rsid w:val="00E562F3"/>
    <w:rsid w:val="00E779D9"/>
    <w:rsid w:val="00E91A00"/>
    <w:rsid w:val="00ED634E"/>
    <w:rsid w:val="00EE1120"/>
    <w:rsid w:val="00EE5583"/>
    <w:rsid w:val="00EE5B53"/>
    <w:rsid w:val="00FA1C5C"/>
    <w:rsid w:val="00FA5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4"/>
  </w:style>
  <w:style w:type="paragraph" w:styleId="Heading2">
    <w:name w:val="heading 2"/>
    <w:basedOn w:val="Normal"/>
    <w:next w:val="Normal"/>
    <w:link w:val="Heading2Char"/>
    <w:uiPriority w:val="9"/>
    <w:unhideWhenUsed/>
    <w:qFormat/>
    <w:rsid w:val="0077521D"/>
    <w:pPr>
      <w:keepNext/>
      <w:keepLines/>
      <w:spacing w:before="200" w:after="0"/>
      <w:outlineLvl w:val="1"/>
    </w:pPr>
    <w:rPr>
      <w:rFonts w:ascii="Calibri" w:eastAsiaTheme="majorEastAsia" w:hAnsi="Calibri" w:cstheme="majorBidi"/>
      <w:b/>
      <w:bCs/>
      <w:sz w:val="24"/>
      <w:szCs w:val="26"/>
    </w:rPr>
  </w:style>
  <w:style w:type="paragraph" w:styleId="Heading3">
    <w:name w:val="heading 3"/>
    <w:basedOn w:val="Normal"/>
    <w:next w:val="Normal"/>
    <w:link w:val="Heading3Char"/>
    <w:uiPriority w:val="9"/>
    <w:unhideWhenUsed/>
    <w:qFormat/>
    <w:rsid w:val="004B2C2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2F3"/>
    <w:pPr>
      <w:ind w:left="720"/>
      <w:contextualSpacing/>
    </w:pPr>
  </w:style>
  <w:style w:type="paragraph" w:styleId="FootnoteText">
    <w:name w:val="footnote text"/>
    <w:basedOn w:val="Normal"/>
    <w:link w:val="FootnoteTextChar"/>
    <w:uiPriority w:val="99"/>
    <w:semiHidden/>
    <w:unhideWhenUsed/>
    <w:rsid w:val="00B175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82"/>
    <w:rPr>
      <w:sz w:val="20"/>
      <w:szCs w:val="20"/>
    </w:rPr>
  </w:style>
  <w:style w:type="character" w:styleId="FootnoteReference">
    <w:name w:val="footnote reference"/>
    <w:basedOn w:val="DefaultParagraphFont"/>
    <w:uiPriority w:val="99"/>
    <w:semiHidden/>
    <w:unhideWhenUsed/>
    <w:rsid w:val="00B17582"/>
    <w:rPr>
      <w:vertAlign w:val="superscript"/>
    </w:rPr>
  </w:style>
  <w:style w:type="character" w:customStyle="1" w:styleId="Heading2Char">
    <w:name w:val="Heading 2 Char"/>
    <w:basedOn w:val="DefaultParagraphFont"/>
    <w:link w:val="Heading2"/>
    <w:uiPriority w:val="9"/>
    <w:rsid w:val="0077521D"/>
    <w:rPr>
      <w:rFonts w:ascii="Calibri" w:eastAsiaTheme="majorEastAsia" w:hAnsi="Calibri" w:cstheme="majorBidi"/>
      <w:b/>
      <w:bCs/>
      <w:sz w:val="24"/>
      <w:szCs w:val="26"/>
    </w:rPr>
  </w:style>
  <w:style w:type="paragraph" w:styleId="BalloonText">
    <w:name w:val="Balloon Text"/>
    <w:basedOn w:val="Normal"/>
    <w:link w:val="BalloonTextChar"/>
    <w:uiPriority w:val="99"/>
    <w:semiHidden/>
    <w:unhideWhenUsed/>
    <w:rsid w:val="0006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66"/>
    <w:rPr>
      <w:rFonts w:ascii="Tahoma" w:hAnsi="Tahoma" w:cs="Tahoma"/>
      <w:sz w:val="16"/>
      <w:szCs w:val="16"/>
    </w:rPr>
  </w:style>
  <w:style w:type="paragraph" w:styleId="Caption">
    <w:name w:val="caption"/>
    <w:basedOn w:val="Normal"/>
    <w:next w:val="Normal"/>
    <w:uiPriority w:val="35"/>
    <w:unhideWhenUsed/>
    <w:qFormat/>
    <w:rsid w:val="00064166"/>
    <w:pPr>
      <w:spacing w:line="240" w:lineRule="auto"/>
    </w:pPr>
    <w:rPr>
      <w:b/>
      <w:bCs/>
      <w:color w:val="4F81BD" w:themeColor="accent1"/>
      <w:sz w:val="18"/>
      <w:szCs w:val="18"/>
    </w:rPr>
  </w:style>
  <w:style w:type="character" w:styleId="Hyperlink">
    <w:name w:val="Hyperlink"/>
    <w:basedOn w:val="DefaultParagraphFont"/>
    <w:uiPriority w:val="99"/>
    <w:unhideWhenUsed/>
    <w:rsid w:val="000A1E9D"/>
    <w:rPr>
      <w:color w:val="0000FF" w:themeColor="hyperlink"/>
      <w:u w:val="single"/>
    </w:rPr>
  </w:style>
  <w:style w:type="character" w:styleId="Strong">
    <w:name w:val="Strong"/>
    <w:basedOn w:val="DefaultParagraphFont"/>
    <w:uiPriority w:val="22"/>
    <w:qFormat/>
    <w:rsid w:val="00BB6A95"/>
    <w:rPr>
      <w:b/>
      <w:bCs/>
    </w:rPr>
  </w:style>
  <w:style w:type="character" w:customStyle="1" w:styleId="text-small">
    <w:name w:val="text-small"/>
    <w:basedOn w:val="DefaultParagraphFont"/>
    <w:rsid w:val="00BB6A95"/>
  </w:style>
  <w:style w:type="paragraph" w:styleId="NormalWeb">
    <w:name w:val="Normal (Web)"/>
    <w:basedOn w:val="Normal"/>
    <w:uiPriority w:val="99"/>
    <w:unhideWhenUsed/>
    <w:rsid w:val="00BB6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BB6A95"/>
  </w:style>
  <w:style w:type="paragraph" w:styleId="Header">
    <w:name w:val="header"/>
    <w:basedOn w:val="Normal"/>
    <w:link w:val="HeaderChar"/>
    <w:uiPriority w:val="99"/>
    <w:unhideWhenUsed/>
    <w:rsid w:val="00103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C03"/>
  </w:style>
  <w:style w:type="paragraph" w:styleId="Footer">
    <w:name w:val="footer"/>
    <w:basedOn w:val="Normal"/>
    <w:link w:val="FooterChar"/>
    <w:uiPriority w:val="99"/>
    <w:unhideWhenUsed/>
    <w:rsid w:val="00103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C03"/>
  </w:style>
  <w:style w:type="paragraph" w:styleId="DocumentMap">
    <w:name w:val="Document Map"/>
    <w:basedOn w:val="Normal"/>
    <w:link w:val="DocumentMapChar"/>
    <w:uiPriority w:val="99"/>
    <w:semiHidden/>
    <w:unhideWhenUsed/>
    <w:rsid w:val="00DF028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028B"/>
    <w:rPr>
      <w:rFonts w:ascii="Tahoma" w:hAnsi="Tahoma" w:cs="Tahoma"/>
      <w:sz w:val="16"/>
      <w:szCs w:val="16"/>
    </w:rPr>
  </w:style>
  <w:style w:type="character" w:customStyle="1" w:styleId="Heading3Char">
    <w:name w:val="Heading 3 Char"/>
    <w:basedOn w:val="DefaultParagraphFont"/>
    <w:link w:val="Heading3"/>
    <w:uiPriority w:val="9"/>
    <w:rsid w:val="004B2C2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2830438">
      <w:bodyDiv w:val="1"/>
      <w:marLeft w:val="0"/>
      <w:marRight w:val="0"/>
      <w:marTop w:val="0"/>
      <w:marBottom w:val="0"/>
      <w:divBdr>
        <w:top w:val="none" w:sz="0" w:space="0" w:color="auto"/>
        <w:left w:val="none" w:sz="0" w:space="0" w:color="auto"/>
        <w:bottom w:val="none" w:sz="0" w:space="0" w:color="auto"/>
        <w:right w:val="none" w:sz="0" w:space="0" w:color="auto"/>
      </w:divBdr>
    </w:div>
    <w:div w:id="91241018">
      <w:bodyDiv w:val="1"/>
      <w:marLeft w:val="0"/>
      <w:marRight w:val="0"/>
      <w:marTop w:val="0"/>
      <w:marBottom w:val="0"/>
      <w:divBdr>
        <w:top w:val="none" w:sz="0" w:space="0" w:color="auto"/>
        <w:left w:val="none" w:sz="0" w:space="0" w:color="auto"/>
        <w:bottom w:val="none" w:sz="0" w:space="0" w:color="auto"/>
        <w:right w:val="none" w:sz="0" w:space="0" w:color="auto"/>
      </w:divBdr>
    </w:div>
    <w:div w:id="520775519">
      <w:bodyDiv w:val="1"/>
      <w:marLeft w:val="0"/>
      <w:marRight w:val="0"/>
      <w:marTop w:val="0"/>
      <w:marBottom w:val="0"/>
      <w:divBdr>
        <w:top w:val="none" w:sz="0" w:space="0" w:color="auto"/>
        <w:left w:val="none" w:sz="0" w:space="0" w:color="auto"/>
        <w:bottom w:val="none" w:sz="0" w:space="0" w:color="auto"/>
        <w:right w:val="none" w:sz="0" w:space="0" w:color="auto"/>
      </w:divBdr>
    </w:div>
    <w:div w:id="634987116">
      <w:bodyDiv w:val="1"/>
      <w:marLeft w:val="0"/>
      <w:marRight w:val="0"/>
      <w:marTop w:val="0"/>
      <w:marBottom w:val="0"/>
      <w:divBdr>
        <w:top w:val="none" w:sz="0" w:space="0" w:color="auto"/>
        <w:left w:val="none" w:sz="0" w:space="0" w:color="auto"/>
        <w:bottom w:val="none" w:sz="0" w:space="0" w:color="auto"/>
        <w:right w:val="none" w:sz="0" w:space="0" w:color="auto"/>
      </w:divBdr>
    </w:div>
    <w:div w:id="8600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oclc.org/research/events/2013/02-25.html" TargetMode="Externa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yperlink" Target="http://www.slideshare.net/oclcr/viaf-for-naac"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5" Type="http://schemas.openxmlformats.org/officeDocument/2006/relationships/hyperlink" Target="http://www.slideshare.net/oclcr/viaf-and-isni" TargetMode="External"/><Relationship Id="rId33" Type="http://schemas.openxmlformats.org/officeDocument/2006/relationships/hyperlink" Target="http://www.oclc.org/resources/research/presentations/childress/naac-viaf2012.pptx"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png"/><Relationship Id="rId29" Type="http://schemas.openxmlformats.org/officeDocument/2006/relationships/hyperlink" Target="http://www.oclc.org/research/events/2013/02-2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ni.org" TargetMode="External"/><Relationship Id="rId24" Type="http://schemas.openxmlformats.org/officeDocument/2006/relationships/hyperlink" Target="http://www.oclc.org/content/dam/research/presentations/vanderwerf/coar2013.ppt" TargetMode="External"/><Relationship Id="rId32" Type="http://schemas.openxmlformats.org/officeDocument/2006/relationships/hyperlink" Target="http://socialarchive.iath.virginia.edu/NAAC_meeting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coar-repositories.org/community/events/annual-meeting-2013/" TargetMode="External"/><Relationship Id="rId28" Type="http://schemas.openxmlformats.org/officeDocument/2006/relationships/hyperlink" Target="http://www.slideshare.net/oclcr/viaf-update" TargetMode="External"/><Relationship Id="rId36" Type="http://schemas.openxmlformats.org/officeDocument/2006/relationships/fontTable" Target="fontTable.xml"/><Relationship Id="rId10" Type="http://schemas.openxmlformats.org/officeDocument/2006/relationships/hyperlink" Target="http://www.syriac.ua.edu/demo" TargetMode="External"/><Relationship Id="rId19" Type="http://schemas.openxmlformats.org/officeDocument/2006/relationships/chart" Target="charts/chart3.xml"/><Relationship Id="rId31" Type="http://schemas.openxmlformats.org/officeDocument/2006/relationships/hyperlink" Target="http://www.slideshare.net/oclcr/viaf-data-in-wikipedia-and-wikidata" TargetMode="External"/><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hyperlink" Target="http://www.oclc.org/content/dam/research/presentations/hickey/emearc2013viafupdate.pptx" TargetMode="External"/><Relationship Id="rId30" Type="http://schemas.openxmlformats.org/officeDocument/2006/relationships/hyperlink" Target="http://www.oclc.org/content/dam/research/presentations/klein/emearc2013viafwiki.pptx" TargetMode="External"/><Relationship Id="rId35" Type="http://schemas.openxmlformats.org/officeDocument/2006/relationships/hyperlink" Target="http://www.oclc.org/research/activities/europeana.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clc.org/viaf/news.en.html" TargetMode="External"/><Relationship Id="rId2" Type="http://schemas.openxmlformats.org/officeDocument/2006/relationships/hyperlink" Target="http://www.oclc.org/research/news/2012/12-07a.html" TargetMode="External"/><Relationship Id="rId1" Type="http://schemas.openxmlformats.org/officeDocument/2006/relationships/hyperlink" Target="http://www.oclc.org/news/releases/2012/201224.en.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ildree\Desktop\VIAF%20Contributors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New agencies joining</a:t>
            </a:r>
            <a:r>
              <a:rPr lang="en-US" baseline="0"/>
              <a:t> </a:t>
            </a:r>
            <a:r>
              <a:rPr lang="en-US"/>
              <a:t>VIAF</a:t>
            </a:r>
          </a:p>
        </c:rich>
      </c:tx>
    </c:title>
    <c:plotArea>
      <c:layout/>
      <c:lineChart>
        <c:grouping val="stacked"/>
        <c:ser>
          <c:idx val="1"/>
          <c:order val="0"/>
          <c:tx>
            <c:strRef>
              <c:f>'Country list'!$P$11</c:f>
              <c:strCache>
                <c:ptCount val="1"/>
                <c:pt idx="0">
                  <c:v>Agencies added</c:v>
                </c:pt>
              </c:strCache>
            </c:strRef>
          </c:tx>
          <c:dLbls>
            <c:showVal val="1"/>
          </c:dLbls>
          <c:cat>
            <c:numRef>
              <c:f>'Country list'!$O$12:$O$22</c:f>
              <c:numCache>
                <c:formatCode>@</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'Country list'!$P$12:$P$22</c:f>
              <c:numCache>
                <c:formatCode>General</c:formatCode>
                <c:ptCount val="11"/>
                <c:pt idx="0">
                  <c:v>3</c:v>
                </c:pt>
                <c:pt idx="1">
                  <c:v>0</c:v>
                </c:pt>
                <c:pt idx="2">
                  <c:v>0</c:v>
                </c:pt>
                <c:pt idx="3">
                  <c:v>0</c:v>
                </c:pt>
                <c:pt idx="4">
                  <c:v>1</c:v>
                </c:pt>
                <c:pt idx="5">
                  <c:v>1</c:v>
                </c:pt>
                <c:pt idx="6">
                  <c:v>9</c:v>
                </c:pt>
                <c:pt idx="7">
                  <c:v>4</c:v>
                </c:pt>
                <c:pt idx="8">
                  <c:v>4</c:v>
                </c:pt>
                <c:pt idx="9">
                  <c:v>5</c:v>
                </c:pt>
                <c:pt idx="10">
                  <c:v>7</c:v>
                </c:pt>
              </c:numCache>
            </c:numRef>
          </c:val>
        </c:ser>
        <c:marker val="1"/>
        <c:axId val="127325696"/>
        <c:axId val="127327232"/>
      </c:lineChart>
      <c:catAx>
        <c:axId val="127325696"/>
        <c:scaling>
          <c:orientation val="minMax"/>
        </c:scaling>
        <c:axPos val="b"/>
        <c:numFmt formatCode="@" sourceLinked="1"/>
        <c:tickLblPos val="nextTo"/>
        <c:crossAx val="127327232"/>
        <c:crosses val="autoZero"/>
        <c:auto val="1"/>
        <c:lblAlgn val="ctr"/>
        <c:lblOffset val="100"/>
      </c:catAx>
      <c:valAx>
        <c:axId val="127327232"/>
        <c:scaling>
          <c:orientation val="minMax"/>
        </c:scaling>
        <c:axPos val="l"/>
        <c:majorGridlines/>
        <c:numFmt formatCode="General" sourceLinked="1"/>
        <c:tickLblPos val="nextTo"/>
        <c:crossAx val="1273256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Source Authority Records for VIAF</a:t>
            </a:r>
          </a:p>
        </c:rich>
      </c:tx>
    </c:title>
    <c:plotArea>
      <c:layout/>
      <c:pieChart>
        <c:varyColors val="1"/>
        <c:ser>
          <c:idx val="0"/>
          <c:order val="0"/>
          <c:tx>
            <c:strRef>
              <c:f>Sheet1!$B$35</c:f>
              <c:strCache>
                <c:ptCount val="1"/>
                <c:pt idx="0">
                  <c:v>Records</c:v>
                </c:pt>
              </c:strCache>
            </c:strRef>
          </c:tx>
          <c:dLbls>
            <c:showVal val="1"/>
            <c:showLeaderLines val="1"/>
          </c:dLbls>
          <c:cat>
            <c:strRef>
              <c:f>Sheet1!$A$36:$A$39</c:f>
              <c:strCache>
                <c:ptCount val="4"/>
                <c:pt idx="0">
                  <c:v>Personal</c:v>
                </c:pt>
                <c:pt idx="1">
                  <c:v>Corporate</c:v>
                </c:pt>
                <c:pt idx="2">
                  <c:v>Geographic</c:v>
                </c:pt>
                <c:pt idx="3">
                  <c:v>Uniform Titles </c:v>
                </c:pt>
              </c:strCache>
            </c:strRef>
          </c:cat>
          <c:val>
            <c:numRef>
              <c:f>Sheet1!$B$36:$B$39</c:f>
              <c:numCache>
                <c:formatCode>#,##0</c:formatCode>
                <c:ptCount val="4"/>
                <c:pt idx="0">
                  <c:v>26400000</c:v>
                </c:pt>
                <c:pt idx="1">
                  <c:v>5100000</c:v>
                </c:pt>
                <c:pt idx="2">
                  <c:v>400000</c:v>
                </c:pt>
                <c:pt idx="3">
                  <c:v>1800000</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bar"/>
        <c:grouping val="clustered"/>
        <c:ser>
          <c:idx val="0"/>
          <c:order val="0"/>
          <c:tx>
            <c:strRef>
              <c:f>Sheet1!$B$3</c:f>
              <c:strCache>
                <c:ptCount val="1"/>
                <c:pt idx="0">
                  <c:v>VIAF Clusters</c:v>
                </c:pt>
              </c:strCache>
            </c:strRef>
          </c:tx>
          <c:dLbls>
            <c:showVal val="1"/>
          </c:dLbls>
          <c:cat>
            <c:strRef>
              <c:f>Sheet1!$A$4:$A$8</c:f>
              <c:strCache>
                <c:ptCount val="5"/>
                <c:pt idx="0">
                  <c:v>Personal</c:v>
                </c:pt>
                <c:pt idx="1">
                  <c:v>Corporate</c:v>
                </c:pt>
                <c:pt idx="2">
                  <c:v>Work</c:v>
                </c:pt>
                <c:pt idx="3">
                  <c:v>Geographic</c:v>
                </c:pt>
                <c:pt idx="4">
                  <c:v>Expression</c:v>
                </c:pt>
              </c:strCache>
            </c:strRef>
          </c:cat>
          <c:val>
            <c:numRef>
              <c:f>Sheet1!$B$4:$B$8</c:f>
              <c:numCache>
                <c:formatCode>#,##0</c:formatCode>
                <c:ptCount val="5"/>
                <c:pt idx="0">
                  <c:v>18067989</c:v>
                </c:pt>
                <c:pt idx="1">
                  <c:v>3770650</c:v>
                </c:pt>
                <c:pt idx="2">
                  <c:v>1685745</c:v>
                </c:pt>
                <c:pt idx="3">
                  <c:v>406799</c:v>
                </c:pt>
                <c:pt idx="4">
                  <c:v>287211</c:v>
                </c:pt>
              </c:numCache>
            </c:numRef>
          </c:val>
        </c:ser>
        <c:axId val="127624704"/>
        <c:axId val="127626240"/>
      </c:barChart>
      <c:catAx>
        <c:axId val="127624704"/>
        <c:scaling>
          <c:orientation val="minMax"/>
        </c:scaling>
        <c:axPos val="l"/>
        <c:tickLblPos val="nextTo"/>
        <c:crossAx val="127626240"/>
        <c:crosses val="autoZero"/>
        <c:auto val="1"/>
        <c:lblAlgn val="ctr"/>
        <c:lblOffset val="100"/>
      </c:catAx>
      <c:valAx>
        <c:axId val="127626240"/>
        <c:scaling>
          <c:orientation val="minMax"/>
        </c:scaling>
        <c:axPos val="b"/>
        <c:majorGridlines/>
        <c:numFmt formatCode="#,##0" sourceLinked="1"/>
        <c:tickLblPos val="nextTo"/>
        <c:crossAx val="1276247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0242E-393F-4DBA-A81A-AB1196EE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Childress</dc:creator>
  <cp:lastModifiedBy>Windows User</cp:lastModifiedBy>
  <cp:revision>2</cp:revision>
  <dcterms:created xsi:type="dcterms:W3CDTF">2013-12-04T18:35:00Z</dcterms:created>
  <dcterms:modified xsi:type="dcterms:W3CDTF">2013-12-04T18:35:00Z</dcterms:modified>
</cp:coreProperties>
</file>